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3945"/>
      </w:tblGrid>
      <w:tr w:rsidR="00393AB2" w:rsidRPr="007C2F83" w:rsidTr="00393AB2">
        <w:trPr>
          <w:trHeight w:val="360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AB2" w:rsidRDefault="00393AB2" w:rsidP="00D4746B">
            <w:pPr>
              <w:jc w:val="center"/>
              <w:rPr>
                <w:rFonts w:eastAsia="Times New Roman" w:cs="Arial"/>
                <w:color w:val="000000" w:themeColor="text1"/>
                <w:sz w:val="28"/>
                <w:lang w:eastAsia="es-CL"/>
              </w:rPr>
            </w:pPr>
            <w:r w:rsidRPr="0093734A"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El DESAFÍO DE COMUNICAR LA FE HOY</w:t>
            </w:r>
          </w:p>
          <w:p w:rsidR="00393AB2" w:rsidRPr="007C2F83" w:rsidRDefault="00393AB2" w:rsidP="00D4746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CEG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2886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E291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201920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3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90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 xml:space="preserve">2 </w:t>
            </w:r>
            <w:proofErr w:type="spellStart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60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Programa de Estudios Generales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Pr="007E6EDF">
              <w:rPr>
                <w:rFonts w:eastAsia="Times New Roman" w:cs="Arial"/>
                <w:color w:val="000000" w:themeColor="text1"/>
                <w:lang w:eastAsia="es-CL"/>
              </w:rPr>
              <w:t>NO HAY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Cristina Errázuriz Tortorelli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El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curso sirve para reflexionar en torno a la comunicación de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la fe y los valores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en el contexto actual de la cultura de la información.  El curso procura aportar con argumentos y formas de comunicar que permitan 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mostrar los aportes 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positivos del mensaje cristiano</w:t>
            </w:r>
            <w:r w:rsidRPr="00BF6FB5">
              <w:rPr>
                <w:rFonts w:eastAsia="Times New Roman" w:cs="Arial"/>
                <w:bCs/>
                <w:color w:val="000000" w:themeColor="text1"/>
                <w:lang w:eastAsia="es-CL"/>
              </w:rPr>
              <w:t>, incluso en el caso de aquellas posiciones que pueden parecer en contradicción con los valores imperantes en la sociedad.</w:t>
            </w:r>
          </w:p>
          <w:p w:rsidR="00393AB2" w:rsidRPr="007C2F83" w:rsidRDefault="00393AB2" w:rsidP="0033295F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</w:t>
            </w:r>
            <w:r w:rsidRPr="007E6EDF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</w:t>
            </w: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/ Graduación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E6EDF" w:rsidRDefault="00393AB2" w:rsidP="00651B28">
            <w:pPr>
              <w:jc w:val="left"/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393AB2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Conforme al perfil de egreso de la Universidad, este curso busca contribuir a que los egresados de la Universidad sean personas con un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conocimiento básico de los fundamentos de la fe católica y su coherencia con la razón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, al enseñarles a </w:t>
            </w:r>
            <w:r w:rsidRPr="003D2496">
              <w:rPr>
                <w:rFonts w:eastAsia="Times New Roman" w:cs="Arial"/>
                <w:color w:val="000000" w:themeColor="text1"/>
                <w:lang w:eastAsia="es-CL"/>
              </w:rPr>
              <w:t>descubrir el mensaje de la Iglesia Ca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tólica en la sociedad actual, a expresar sus ideas, adquiriendo la capacidad de dialogar y acercar posiciones en aparente contradicción.  </w:t>
            </w:r>
          </w:p>
          <w:p w:rsidR="00393AB2" w:rsidRPr="007C2F83" w:rsidRDefault="00393AB2" w:rsidP="003816DF">
            <w:pPr>
              <w:shd w:val="clear" w:color="auto" w:fill="FFFFFF"/>
              <w:spacing w:before="100" w:beforeAutospacing="1" w:after="100" w:afterAutospacing="1"/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generales de la asignatura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0D4394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El propósito de este curso es enseñar a comunicar la fe y los valores con efectividad, incluso en el caso de aquellas posiciones que pueden parecer en contradicción con los valores imperantes en la sociedad.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87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1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Contenidos/Unidades Temáticas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1: “Comunicación de la fe y los valores en la sociedad posmoderna.”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AB654B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las características de la sociedad actual y su relación con la fe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2: “La era de la Información.”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29097F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las características de la llamada “era de la información”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3: “¿Cómo se comunica la fe y las enseñanzas de la Iglesia? Sagrada Escritura, Tradición y Magisterio.  La misión apostólica, la Biblia, las bulas y las exhortaciones, el catecismo.”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los principales medios por los que la Iglesia comunica la fe, comprender sus diferencias.</w:t>
            </w:r>
          </w:p>
          <w:p w:rsidR="00393AB2" w:rsidRPr="007C2F83" w:rsidRDefault="00393AB2" w:rsidP="00255E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41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5E752D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4: “Organización de la Iglesia y la comunicación institucional y personal.”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0A73C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organización de la Iglesia jerárquica e institucional y sus medios de comunicación.  Conocer los medios de comunicación personal de la fe y </w:t>
            </w:r>
            <w:bookmarkStart w:id="0" w:name="_GoBack"/>
            <w:bookmarkEnd w:id="0"/>
            <w:r>
              <w:rPr>
                <w:rFonts w:eastAsia="Times New Roman" w:cs="Arial"/>
                <w:color w:val="000000" w:themeColor="text1"/>
                <w:lang w:eastAsia="es-CL"/>
              </w:rPr>
              <w:t>los valores cristianos.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5: 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Control de Lectura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EVALUACIÓN: control de lectura sobre la comunicación de la fe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CF24B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Clase 6: </w:t>
            </w: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 xml:space="preserve">“10 principios de la comunicación de la fe” 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Conversación grupal en torno a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los principios de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816DF">
              <w:rPr>
                <w:rFonts w:eastAsia="Times New Roman" w:cs="Arial"/>
                <w:color w:val="000000" w:themeColor="text1"/>
                <w:lang w:eastAsia="es-CL"/>
              </w:rPr>
              <w:t>Clase 7: “La comunicación no verbal en la comunicación de la fe. El valor del ejemplo y de los gestos. La contribución de los santos a la comunicación de la fe.”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Conocer lo que es la comunicación no verbal y su relación con la comunicación de la fe.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8: “Francisco, el comunicador.”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Exhibición conferencia online.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figura del Papa Francisco y sus características como comunicador de la fe y de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 xml:space="preserve">Clase 9: “El método </w:t>
            </w:r>
            <w:proofErr w:type="spellStart"/>
            <w:r>
              <w:t>Catholic</w:t>
            </w:r>
            <w:proofErr w:type="spellEnd"/>
            <w:r>
              <w:t xml:space="preserve"> </w:t>
            </w:r>
            <w:proofErr w:type="spellStart"/>
            <w:r>
              <w:t>Voices</w:t>
            </w:r>
            <w:proofErr w:type="spellEnd"/>
            <w:r>
              <w:t xml:space="preserve"> para comunicar la fe y los valores” El desafío de comunicar la fe con optimismo y sentido positivo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el método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Catholic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Voices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y hacer un ejercicio para su aplicación.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10:</w:t>
            </w:r>
            <w:r w:rsidRPr="007C6F78">
              <w:t xml:space="preserve"> </w:t>
            </w:r>
            <w:r>
              <w:t>“</w:t>
            </w:r>
            <w:proofErr w:type="spellStart"/>
            <w:r>
              <w:t>Reenmarcar</w:t>
            </w:r>
            <w:proofErr w:type="spellEnd"/>
            <w:r>
              <w:t xml:space="preserve"> las discusiones actuales”.</w:t>
            </w:r>
          </w:p>
          <w:p w:rsidR="00393AB2" w:rsidRPr="00CF24BE" w:rsidRDefault="00393AB2" w:rsidP="003816DF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CF24BE">
              <w:rPr>
                <w:rFonts w:eastAsia="Times New Roman" w:cs="Arial"/>
                <w:color w:val="000000" w:themeColor="text1"/>
                <w:lang w:eastAsia="es-CL"/>
              </w:rPr>
              <w:t>Ejercicios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para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reenmarcar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las discusiones actuales buscando el punto en común o la intención positiva detrás de cada posición.</w:t>
            </w:r>
          </w:p>
          <w:p w:rsidR="00393AB2" w:rsidRPr="007C2F83" w:rsidRDefault="00393AB2" w:rsidP="009E0829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816DF">
            <w:r>
              <w:t>Clase 11: “El cuidado de la vida vulnerable.”</w:t>
            </w:r>
          </w:p>
          <w:p w:rsidR="00393AB2" w:rsidRPr="003816DF" w:rsidRDefault="00393AB2" w:rsidP="007C2F83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postura de la Iglesia ante temas como el aborto, la eutanasia, y la miseria. 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12: “La Igles</w:t>
            </w:r>
            <w:r>
              <w:t>ia ante los problemas sociales</w:t>
            </w:r>
            <w:r>
              <w:t xml:space="preserve">.” </w:t>
            </w:r>
          </w:p>
          <w:p w:rsidR="00393AB2" w:rsidRPr="003816DF" w:rsidRDefault="00393AB2" w:rsidP="00392F9C">
            <w:pPr>
              <w:jc w:val="left"/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Conocer la posición de la Iglesia ante problemas sociales como la pobreza, el SIDA, el tráfico de personas, etc. 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13</w:t>
            </w:r>
            <w:proofErr w:type="gramStart"/>
            <w:r>
              <w:t>:  “</w:t>
            </w:r>
            <w:proofErr w:type="gramEnd"/>
            <w:r>
              <w:t>Los jóvenes y las enseñanzas de la Iglesia.”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papel de los jóvenes en la Iglesia hoy y su relación particular con los valores que enseña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14: “La mujer en la Iglesia.”</w:t>
            </w:r>
          </w:p>
          <w:p w:rsidR="00393AB2" w:rsidRDefault="00393AB2" w:rsidP="00392F9C"/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Reconocer el rol de la mujer en la Iglesia hoy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1E79DE">
            <w:r>
              <w:lastRenderedPageBreak/>
              <w:t xml:space="preserve">Clase 15: “Crisis comunicacionales o crisis institucionales: </w:t>
            </w:r>
            <w:r w:rsidRPr="00CA122E">
              <w:t xml:space="preserve"> </w:t>
            </w:r>
            <w:r>
              <w:t>Toda crítica es una oportunidad de comunicar. El rol de la comunicación en la crisis de los abusos en la Iglesia.”</w:t>
            </w:r>
          </w:p>
          <w:p w:rsidR="00393AB2" w:rsidRPr="003816DF" w:rsidRDefault="00393AB2" w:rsidP="001E79DE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Reflexionar en torno a la dinámica de la comunicación de crisis y abordar el caso de la comunicación en la crisis de los abusos en la Iglesia.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Default="00393AB2" w:rsidP="00392F9C">
            <w:r>
              <w:t>Clase 16:</w:t>
            </w:r>
            <w:r w:rsidRPr="00CA122E">
              <w:t xml:space="preserve"> </w:t>
            </w:r>
            <w:r w:rsidRPr="003816DF">
              <w:rPr>
                <w:rFonts w:eastAsia="Times New Roman" w:cs="Arial"/>
                <w:i/>
                <w:color w:val="000000" w:themeColor="text1"/>
                <w:lang w:eastAsia="es-CL"/>
              </w:rPr>
              <w:t>“Jesús es el mensaje”.</w:t>
            </w:r>
          </w:p>
          <w:p w:rsidR="00393AB2" w:rsidRPr="003816DF" w:rsidRDefault="00393AB2" w:rsidP="00392F9C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AB2" w:rsidRPr="007C2F83" w:rsidRDefault="00393AB2" w:rsidP="001E79DE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Conclusiones del curso y c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>omprender que en el centro de la comunicación de la fe católica se encuentra la persona de Jesús.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546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3AB2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393AB2">
              <w:rPr>
                <w:rFonts w:eastAsia="Times New Roman" w:cs="Arial"/>
                <w:color w:val="000000" w:themeColor="text1"/>
                <w:lang w:eastAsia="es-CL"/>
              </w:rPr>
              <w:t>A lo largo del curso se utilizarán diferentes estrategias de enseñanza: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Clases Expositivas Teóricas con Participación Activa.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2.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Lectura y Análisis de Textos.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3.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Clase Invertida (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Flipped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proofErr w:type="spellStart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Classroom</w:t>
            </w:r>
            <w:proofErr w:type="spellEnd"/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): Sistema de trabajo cooperativo en el que se estudian los temas antes de la clase mediante material entregado por el profesor y se trabaja posteriormente en clases ampliando, profundizando, discutiendo o aplicando el contenido.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4.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Método Socrático.</w:t>
            </w:r>
          </w:p>
          <w:p w:rsidR="00393AB2" w:rsidRPr="00D13378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5.</w:t>
            </w: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 </w:t>
            </w:r>
            <w:r w:rsidRPr="00D13378">
              <w:rPr>
                <w:rFonts w:eastAsia="Times New Roman" w:cs="Arial"/>
                <w:color w:val="000000" w:themeColor="text1"/>
                <w:lang w:eastAsia="es-CL"/>
              </w:rPr>
              <w:t>Trabajos Grupales de Reflexión.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393AB2" w:rsidRPr="007C2F83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393AB2" w:rsidRPr="007C2F83" w:rsidTr="00393AB2">
        <w:trPr>
          <w:trHeight w:val="77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4F38E9">
              <w:rPr>
                <w:rFonts w:eastAsia="Cambria" w:cs="Arial"/>
                <w:highlight w:val="yellow"/>
                <w:lang w:val="es-ES_tradnl" w:eastAsia="es-ES_tradnl"/>
              </w:rPr>
              <w:t xml:space="preserve">  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Control de lectura: 20%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Trabajo grupal: 30%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Nota de participación: 20%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Examen final: 30% 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Observaciones: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La nota mínima de presentación a examen será de 3,0. Para presentarse a examen se requiere un 70% de asistencia.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habrá exámenes de repetición.</w:t>
            </w:r>
          </w:p>
          <w:p w:rsidR="00393AB2" w:rsidRPr="00E600B1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 xml:space="preserve">La nota de aprobación de la asignatura será de un 4,0. </w:t>
            </w:r>
          </w:p>
          <w:p w:rsidR="00393AB2" w:rsidRPr="004F38E9" w:rsidRDefault="00393AB2" w:rsidP="00392F9C">
            <w:pPr>
              <w:jc w:val="left"/>
              <w:rPr>
                <w:rFonts w:eastAsia="Cambria" w:cs="Arial"/>
                <w:lang w:val="es-ES_tradnl" w:eastAsia="es-ES_tradnl"/>
              </w:rPr>
            </w:pPr>
            <w:r w:rsidRPr="00E600B1">
              <w:rPr>
                <w:rFonts w:eastAsia="Cambria" w:cs="Arial"/>
                <w:lang w:val="es-ES_tradnl" w:eastAsia="es-ES_tradnl"/>
              </w:rPr>
              <w:t>No hay pruebas recuperativas: se ajusta proporcionalmente el porcentaje de las otras evaluaciones.</w:t>
            </w:r>
          </w:p>
          <w:p w:rsidR="00393AB2" w:rsidRPr="002325B6" w:rsidRDefault="00393AB2" w:rsidP="00392F9C">
            <w:pPr>
              <w:jc w:val="left"/>
              <w:rPr>
                <w:rFonts w:eastAsia="Times New Roman" w:cs="Arial"/>
                <w:color w:val="000000" w:themeColor="text1"/>
                <w:lang w:val="es-ES_tradnl"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38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3AB2" w:rsidRPr="007C2F83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 w:rsidRPr="007C2F83"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</w:t>
            </w: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básica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4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La transmisión de la fe en la sociedad postmoderna y otros escritos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Jutta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Burggraf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Colección: Astrolabio Antropología y Ética, editorial EUNSA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Año: 2015 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2.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Cómo defender la fe sin levantar la voz. Respuestas civilizadas a preguntas desafiantes.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Autor: Yago de la Cierva y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Austen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Ivereigh</w:t>
            </w:r>
            <w:proofErr w:type="spellEnd"/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Editorial Palabra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Año 2016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3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ab/>
              <w:t>Mora, JM. (2012), “Las 10 claves para la comunicación de la fe”, en SCRIPTA THEOLOGICA, VOL. 44, pp. 739-749.</w:t>
            </w: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Cs/>
                <w:color w:val="000000" w:themeColor="text1"/>
                <w:lang w:eastAsia="es-CL"/>
              </w:rPr>
              <w:t>Bibliografía complementaria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FAZIO, M. (1997), “La sociedad de la comunicación en el pensamiento de Juan Pablo II”, en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Communication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&amp; </w:t>
            </w:r>
            <w:proofErr w:type="spellStart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Society</w:t>
            </w:r>
            <w:proofErr w:type="spellEnd"/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10(2), 165-183.</w:t>
            </w:r>
          </w:p>
          <w:p w:rsidR="00393AB2" w:rsidRPr="00B378FB" w:rsidRDefault="00393AB2" w:rsidP="00B378FB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MENSAJE DEL SANTO PADRE BENEDICTO XVI PARA LA XLVII JORNADA MUNDIAL DE LAS COMUNICACIONES SOCIALES, «Redes Sociales: portales de verdad y de fe; nuevos espacios para la evangelización», Domingo 12 de mayo de 2013.</w:t>
            </w: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 </w:t>
            </w:r>
          </w:p>
          <w:p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 xml:space="preserve">Arguments.es (2016), “7 enseñanzas del Papa Francisco sobre la comunicación de la fe”, en </w:t>
            </w:r>
            <w:hyperlink r:id="rId7" w:history="1">
              <w:r w:rsidRPr="00DF45B0">
                <w:rPr>
                  <w:rStyle w:val="Hipervnculo"/>
                  <w:rFonts w:eastAsia="Times New Roman" w:cs="Arial"/>
                  <w:bCs/>
                  <w:lang w:eastAsia="es-CL"/>
                </w:rPr>
                <w:t>https://www.arguments.es/comunicarlafe/papa-francisco-comunicacion-de-la-fe/</w:t>
              </w:r>
            </w:hyperlink>
          </w:p>
          <w:p w:rsidR="00393AB2" w:rsidRPr="00B378FB" w:rsidRDefault="00393AB2" w:rsidP="00B378FB">
            <w:pPr>
              <w:pStyle w:val="Prrafodelista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B378FB" w:rsidRDefault="00393AB2" w:rsidP="00B378FB">
            <w:pPr>
              <w:pStyle w:val="Prrafodelista"/>
              <w:numPr>
                <w:ilvl w:val="0"/>
                <w:numId w:val="3"/>
              </w:num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  <w:r w:rsidRPr="00B378FB">
              <w:rPr>
                <w:rFonts w:eastAsia="Times New Roman" w:cs="Arial"/>
                <w:bCs/>
                <w:color w:val="000000" w:themeColor="text1"/>
                <w:lang w:eastAsia="es-CL"/>
              </w:rPr>
              <w:t>http://www.riial.org/la-comunicacion-papa-francisco/</w:t>
            </w: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393AB2" w:rsidRPr="007C2F83" w:rsidTr="00393AB2">
        <w:trPr>
          <w:trHeight w:val="30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3AB2" w:rsidRPr="007E6EDF" w:rsidRDefault="00393AB2" w:rsidP="00392F9C">
            <w:pPr>
              <w:jc w:val="left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D65054" w:rsidRDefault="00D65054"/>
    <w:p w:rsidR="00D65054" w:rsidRDefault="00D65054"/>
    <w:sectPr w:rsidR="00D65054" w:rsidSect="002325B6">
      <w:headerReference w:type="default" r:id="rId8"/>
      <w:pgSz w:w="12240" w:h="15840"/>
      <w:pgMar w:top="170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4F" w:rsidRDefault="00FA1E4F" w:rsidP="0093734A">
      <w:r>
        <w:separator/>
      </w:r>
    </w:p>
  </w:endnote>
  <w:endnote w:type="continuationSeparator" w:id="0">
    <w:p w:rsidR="00FA1E4F" w:rsidRDefault="00FA1E4F" w:rsidP="0093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4F" w:rsidRDefault="00FA1E4F" w:rsidP="0093734A">
      <w:r>
        <w:separator/>
      </w:r>
    </w:p>
  </w:footnote>
  <w:footnote w:type="continuationSeparator" w:id="0">
    <w:p w:rsidR="00FA1E4F" w:rsidRDefault="00FA1E4F" w:rsidP="0093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4A" w:rsidRDefault="0093734A">
    <w:pPr>
      <w:pStyle w:val="Encabezado"/>
    </w:pPr>
    <w:r w:rsidRPr="0093734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B78B95D" wp14:editId="016BE048">
          <wp:simplePos x="0" y="0"/>
          <wp:positionH relativeFrom="margin">
            <wp:posOffset>-574040</wp:posOffset>
          </wp:positionH>
          <wp:positionV relativeFrom="paragraph">
            <wp:posOffset>-225174</wp:posOffset>
          </wp:positionV>
          <wp:extent cx="1350335" cy="780104"/>
          <wp:effectExtent l="0" t="0" r="2540" b="1270"/>
          <wp:wrapNone/>
          <wp:docPr id="10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35" cy="780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3734A" w:rsidRDefault="009373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31C2C"/>
    <w:multiLevelType w:val="hybridMultilevel"/>
    <w:tmpl w:val="1FD6A1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83BBF"/>
    <w:multiLevelType w:val="multilevel"/>
    <w:tmpl w:val="7BC8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D42A13"/>
    <w:multiLevelType w:val="hybridMultilevel"/>
    <w:tmpl w:val="94C82E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449CB"/>
    <w:multiLevelType w:val="hybridMultilevel"/>
    <w:tmpl w:val="150E25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83"/>
    <w:rsid w:val="00055086"/>
    <w:rsid w:val="000A73C3"/>
    <w:rsid w:val="000D4394"/>
    <w:rsid w:val="00117B11"/>
    <w:rsid w:val="001E79DE"/>
    <w:rsid w:val="001F3614"/>
    <w:rsid w:val="00205CDF"/>
    <w:rsid w:val="002325B6"/>
    <w:rsid w:val="00255E9C"/>
    <w:rsid w:val="0029097F"/>
    <w:rsid w:val="0029136D"/>
    <w:rsid w:val="002B55EB"/>
    <w:rsid w:val="003046D5"/>
    <w:rsid w:val="0033295F"/>
    <w:rsid w:val="00354934"/>
    <w:rsid w:val="003725D8"/>
    <w:rsid w:val="003816DF"/>
    <w:rsid w:val="00392F9C"/>
    <w:rsid w:val="00393AB2"/>
    <w:rsid w:val="003D2496"/>
    <w:rsid w:val="00406109"/>
    <w:rsid w:val="004064BF"/>
    <w:rsid w:val="0044673A"/>
    <w:rsid w:val="00452305"/>
    <w:rsid w:val="0045360F"/>
    <w:rsid w:val="00542BCB"/>
    <w:rsid w:val="005A5370"/>
    <w:rsid w:val="005C4A6B"/>
    <w:rsid w:val="005E752D"/>
    <w:rsid w:val="005F3511"/>
    <w:rsid w:val="00615C58"/>
    <w:rsid w:val="00651B28"/>
    <w:rsid w:val="00692394"/>
    <w:rsid w:val="006D67F0"/>
    <w:rsid w:val="00750A91"/>
    <w:rsid w:val="00772D14"/>
    <w:rsid w:val="007818AF"/>
    <w:rsid w:val="007C2F83"/>
    <w:rsid w:val="007E2914"/>
    <w:rsid w:val="007E5AD5"/>
    <w:rsid w:val="007E6EDF"/>
    <w:rsid w:val="007F5608"/>
    <w:rsid w:val="0087193E"/>
    <w:rsid w:val="00890C21"/>
    <w:rsid w:val="00925753"/>
    <w:rsid w:val="00930A1A"/>
    <w:rsid w:val="0093734A"/>
    <w:rsid w:val="00937BB6"/>
    <w:rsid w:val="009726C8"/>
    <w:rsid w:val="00972D2A"/>
    <w:rsid w:val="009C59D3"/>
    <w:rsid w:val="009E0829"/>
    <w:rsid w:val="00A22F66"/>
    <w:rsid w:val="00A34EB5"/>
    <w:rsid w:val="00AA39BE"/>
    <w:rsid w:val="00AB654B"/>
    <w:rsid w:val="00B12C2E"/>
    <w:rsid w:val="00B378FB"/>
    <w:rsid w:val="00B416FC"/>
    <w:rsid w:val="00BF6FB5"/>
    <w:rsid w:val="00C246AD"/>
    <w:rsid w:val="00C251CC"/>
    <w:rsid w:val="00C637F1"/>
    <w:rsid w:val="00C90DF4"/>
    <w:rsid w:val="00CF24BE"/>
    <w:rsid w:val="00D13378"/>
    <w:rsid w:val="00D4746B"/>
    <w:rsid w:val="00D63FB4"/>
    <w:rsid w:val="00D65054"/>
    <w:rsid w:val="00D77C18"/>
    <w:rsid w:val="00DA5CB9"/>
    <w:rsid w:val="00DD6F06"/>
    <w:rsid w:val="00E600B1"/>
    <w:rsid w:val="00EA1872"/>
    <w:rsid w:val="00ED42DA"/>
    <w:rsid w:val="00F72B42"/>
    <w:rsid w:val="00FA1E4F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CC20"/>
  <w15:chartTrackingRefBased/>
  <w15:docId w15:val="{381014A2-CDE0-4CDE-985A-F28838B0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34A"/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34A"/>
  </w:style>
  <w:style w:type="paragraph" w:styleId="Prrafodelista">
    <w:name w:val="List Paragraph"/>
    <w:basedOn w:val="Normal"/>
    <w:uiPriority w:val="34"/>
    <w:qFormat/>
    <w:rsid w:val="00B378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7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guments.es/comunicarlafe/papa-francisco-comunicacion-de-la-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cp:keywords/>
  <dc:description/>
  <cp:lastModifiedBy>Cristina Fernanda Errazuriz Tortorelli</cp:lastModifiedBy>
  <cp:revision>2</cp:revision>
  <dcterms:created xsi:type="dcterms:W3CDTF">2019-07-05T17:36:00Z</dcterms:created>
  <dcterms:modified xsi:type="dcterms:W3CDTF">2019-07-05T17:36:00Z</dcterms:modified>
</cp:coreProperties>
</file>