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881ACF" w14:paraId="66F76099" w14:textId="77777777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6097" w14:textId="7DD101FD" w:rsidR="007C2F83" w:rsidRPr="00881ACF" w:rsidRDefault="007C2F83" w:rsidP="00D4746B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PROGRAMA DE </w:t>
            </w:r>
            <w:r w:rsidR="00C53543" w:rsidRPr="00881ACF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L"/>
              </w:rPr>
              <w:t>POLÍTICOS DE LA EDAD MODERNA</w:t>
            </w:r>
          </w:p>
          <w:p w14:paraId="66F76098" w14:textId="77777777" w:rsidR="00D4746B" w:rsidRPr="00881ACF" w:rsidRDefault="00D4746B" w:rsidP="00D4746B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es-CL"/>
              </w:rPr>
              <w:t>Centro de Estudios Generales</w:t>
            </w:r>
          </w:p>
        </w:tc>
      </w:tr>
      <w:tr w:rsidR="007C2F83" w:rsidRPr="00881ACF" w14:paraId="66F7609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9A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9B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9F" w14:textId="77777777" w:rsidTr="004974B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9D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609E" w14:textId="0694B67B" w:rsidR="007C2F83" w:rsidRPr="00881ACF" w:rsidRDefault="00A66AE7" w:rsidP="007E2914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Centro de Estudios Generales</w:t>
            </w:r>
          </w:p>
        </w:tc>
      </w:tr>
      <w:tr w:rsidR="007C2F83" w:rsidRPr="00881ACF" w14:paraId="66F760A2" w14:textId="77777777" w:rsidTr="004974B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0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60A1" w14:textId="53490606" w:rsidR="007C2F83" w:rsidRPr="00881ACF" w:rsidRDefault="00A66AE7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3018</w:t>
            </w:r>
          </w:p>
        </w:tc>
      </w:tr>
      <w:tr w:rsidR="007C2F83" w:rsidRPr="00881ACF" w14:paraId="66F760A5" w14:textId="77777777" w:rsidTr="004974B8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3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60A4" w14:textId="2ABC6480" w:rsidR="007C2F83" w:rsidRPr="00881ACF" w:rsidRDefault="00A66AE7" w:rsidP="007E2914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201920</w:t>
            </w:r>
          </w:p>
        </w:tc>
      </w:tr>
      <w:tr w:rsidR="007C2F83" w:rsidRPr="00881ACF" w14:paraId="66F760A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6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7" w14:textId="45E1A5F9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4974B8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2</w:t>
            </w:r>
          </w:p>
        </w:tc>
      </w:tr>
      <w:tr w:rsidR="00890C21" w:rsidRPr="00881ACF" w14:paraId="66F760AA" w14:textId="77777777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9" w14:textId="77777777" w:rsidR="00890C21" w:rsidRPr="00881ACF" w:rsidRDefault="00890C21" w:rsidP="007C2F83">
            <w:pPr>
              <w:jc w:val="lef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Horas de dedicación</w:t>
            </w:r>
          </w:p>
        </w:tc>
      </w:tr>
      <w:tr w:rsidR="007C2F83" w:rsidRPr="00881ACF" w14:paraId="66F760AD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B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C" w14:textId="59BD5383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0F6A25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60</w:t>
            </w:r>
          </w:p>
        </w:tc>
      </w:tr>
      <w:tr w:rsidR="007C2F83" w:rsidRPr="00881ACF" w14:paraId="66F760B0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E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AF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2 </w:t>
            </w:r>
            <w:proofErr w:type="spellStart"/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hrs</w:t>
            </w:r>
            <w:proofErr w:type="spellEnd"/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. se</w:t>
            </w:r>
            <w:bookmarkStart w:id="0" w:name="_GoBack"/>
            <w:bookmarkEnd w:id="0"/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manales (30-32)</w:t>
            </w:r>
          </w:p>
        </w:tc>
      </w:tr>
      <w:tr w:rsidR="007C2F83" w:rsidRPr="00881ACF" w14:paraId="66F760B3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1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2" w14:textId="2495C986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0F6A25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30</w:t>
            </w:r>
          </w:p>
        </w:tc>
      </w:tr>
      <w:tr w:rsidR="007C2F83" w:rsidRPr="00881ACF" w14:paraId="66F760B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4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5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Programa de Estudios Generales</w:t>
            </w:r>
          </w:p>
        </w:tc>
      </w:tr>
      <w:tr w:rsidR="007C2F83" w:rsidRPr="00881ACF" w14:paraId="66F760B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7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8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0890C21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NO HAY</w:t>
            </w:r>
          </w:p>
        </w:tc>
      </w:tr>
      <w:tr w:rsidR="007C2F83" w:rsidRPr="00881ACF" w14:paraId="66F760BC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BA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BB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BF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D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BE" w14:textId="1B4F17F6" w:rsidR="007C2F83" w:rsidRPr="00881ACF" w:rsidRDefault="000F6A25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Sebastián Guerra Díaz</w:t>
            </w:r>
          </w:p>
        </w:tc>
      </w:tr>
      <w:tr w:rsidR="000F6A25" w:rsidRPr="00881ACF" w14:paraId="48E6585A" w14:textId="77777777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0E91" w14:textId="650F5D12" w:rsidR="000F6A25" w:rsidRPr="00881ACF" w:rsidRDefault="000F6A25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Contacto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74CA" w14:textId="14D0A908" w:rsidR="000F6A25" w:rsidRPr="00881ACF" w:rsidRDefault="00F64F8E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hyperlink r:id="rId7" w:history="1">
              <w:r w:rsidR="000F6A25" w:rsidRPr="00881ACF">
                <w:rPr>
                  <w:rStyle w:val="Hipervnculo"/>
                  <w:rFonts w:ascii="Arial Narrow" w:eastAsia="Times New Roman" w:hAnsi="Arial Narrow" w:cs="Arial"/>
                  <w:sz w:val="24"/>
                  <w:szCs w:val="24"/>
                  <w:lang w:eastAsia="es-CL"/>
                </w:rPr>
                <w:t>saguerra@uandes.cl</w:t>
              </w:r>
            </w:hyperlink>
          </w:p>
        </w:tc>
      </w:tr>
      <w:tr w:rsidR="007C2F83" w:rsidRPr="00881ACF" w14:paraId="66F760C2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C0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C1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C4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C3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Definición de la asignatura</w:t>
            </w:r>
          </w:p>
        </w:tc>
      </w:tr>
      <w:tr w:rsidR="007C2F83" w:rsidRPr="00881ACF" w14:paraId="66F760C7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C5" w14:textId="2BE26B49" w:rsidR="00DD6F06" w:rsidRPr="00881ACF" w:rsidRDefault="000F6A25" w:rsidP="00651B28">
            <w:pPr>
              <w:jc w:val="left"/>
              <w:rPr>
                <w:rFonts w:ascii="Arial Narrow" w:eastAsia="Times New Roman" w:hAnsi="Arial Narrow" w:cs="Arial"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Cs/>
                <w:color w:val="000000" w:themeColor="text1"/>
                <w:sz w:val="24"/>
                <w:szCs w:val="24"/>
                <w:lang w:eastAsia="es-CL"/>
              </w:rPr>
              <w:t xml:space="preserve">La Historia Moderna comprendida entre los siglos XV y XVIII está caracterizada por el surgimiento del Estado Moderno y la crisis del Absolutismo como sistema de gobierno. Este curso recoge los principales políticos que conformaron la Modernidad, principalmente en los contextos italiano, inglés y francés. A partir de ello, se analizarán textos fundamentales de autores tales como Maquiavelo, Hobbes y Montesquieu, entre otros, para observar la influencia de sus ideas hasta la actualidad. </w:t>
            </w:r>
          </w:p>
          <w:p w14:paraId="66F760C6" w14:textId="77777777" w:rsidR="005A5370" w:rsidRPr="00881ACF" w:rsidRDefault="005A5370" w:rsidP="0033295F">
            <w:pPr>
              <w:jc w:val="left"/>
              <w:rPr>
                <w:rFonts w:ascii="Arial Narrow" w:eastAsia="Times New Roman" w:hAnsi="Arial Narrow" w:cs="Arial"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C9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0C8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CB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0CA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CD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0CC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Aporte al Perfil de Egreso</w:t>
            </w:r>
            <w:r w:rsidR="00651B28"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/ Graduación</w:t>
            </w:r>
          </w:p>
        </w:tc>
      </w:tr>
      <w:tr w:rsidR="007C2F83" w:rsidRPr="00881ACF" w14:paraId="66F760D3" w14:textId="77777777" w:rsidTr="00750A91">
        <w:trPr>
          <w:trHeight w:val="32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C52B9" w14:textId="77777777" w:rsidR="00881ACF" w:rsidRPr="00881ACF" w:rsidRDefault="00881ACF" w:rsidP="00881AC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81ACF">
              <w:rPr>
                <w:rFonts w:ascii="Arial Narrow" w:hAnsi="Arial Narrow" w:cs="Arial"/>
                <w:sz w:val="24"/>
                <w:szCs w:val="24"/>
              </w:rPr>
              <w:t xml:space="preserve">Todo saber es una búsqueda de la verdad, de la belleza y del bien. Por eso, para un estudiante universitario, los conocimientos que no forman parte de su propia </w:t>
            </w:r>
            <w:proofErr w:type="gramStart"/>
            <w:r w:rsidRPr="00881ACF">
              <w:rPr>
                <w:rFonts w:ascii="Arial Narrow" w:hAnsi="Arial Narrow" w:cs="Arial"/>
                <w:sz w:val="24"/>
                <w:szCs w:val="24"/>
              </w:rPr>
              <w:t>disciplina,</w:t>
            </w:r>
            <w:proofErr w:type="gramEnd"/>
            <w:r w:rsidRPr="00881ACF">
              <w:rPr>
                <w:rFonts w:ascii="Arial Narrow" w:hAnsi="Arial Narrow" w:cs="Arial"/>
                <w:sz w:val="24"/>
                <w:szCs w:val="24"/>
              </w:rPr>
              <w:t xml:space="preserve"> tienen algo que decirle, algo nuevo que mostrarle, algo capaz de despertar en él una pregunta.</w:t>
            </w:r>
          </w:p>
          <w:p w14:paraId="66F760D0" w14:textId="0E934F3B" w:rsidR="0033295F" w:rsidRPr="00881ACF" w:rsidRDefault="00881ACF" w:rsidP="00881AC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81ACF">
              <w:rPr>
                <w:rFonts w:ascii="Arial Narrow" w:hAnsi="Arial Narrow" w:cs="Arial"/>
                <w:sz w:val="24"/>
                <w:szCs w:val="24"/>
              </w:rPr>
              <w:t>A través de las asignaturas que dicta el Centro de Estudios Generales, la Universidad te propone un diálogo con todas las manifestaciones del espíritu -el arte, la cultura, las ciencias, las humanidades- y te invita a plantearte y a hacer preguntas, más allá de las fronteras de tu propia carrera.</w:t>
            </w:r>
          </w:p>
          <w:p w14:paraId="66F760D1" w14:textId="77777777" w:rsidR="0033295F" w:rsidRPr="00881AC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6F760D2" w14:textId="77777777" w:rsidR="0033295F" w:rsidRPr="00881AC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D5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F760D4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D7" w14:textId="77777777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F760D6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50A91" w:rsidRPr="00881ACF" w14:paraId="66F760D9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F760D8" w14:textId="77777777" w:rsidR="00750A91" w:rsidRPr="00881ACF" w:rsidRDefault="00750A91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50A91" w:rsidRPr="00881ACF" w14:paraId="66F760DB" w14:textId="77777777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760DA" w14:textId="77777777" w:rsidR="00750A91" w:rsidRPr="00881ACF" w:rsidRDefault="00750A91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DD" w14:textId="77777777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0DC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Resultados de aprendizaje generales de la asignatura</w:t>
            </w:r>
          </w:p>
        </w:tc>
      </w:tr>
      <w:tr w:rsidR="007C2F83" w:rsidRPr="00881ACF" w14:paraId="66F760DF" w14:textId="77777777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6C12" w14:textId="6080BFDF" w:rsidR="000F6A25" w:rsidRPr="00881ACF" w:rsidRDefault="000F6A25" w:rsidP="000F6A25">
            <w:pPr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1. Conocer, interpretar y analizar la filosofía política de los principales procesos históricos de la Edad Moderna, principalmente en Italia, Inglaterra y Francia.</w:t>
            </w:r>
          </w:p>
          <w:p w14:paraId="2019D724" w14:textId="77777777" w:rsidR="000F6A25" w:rsidRPr="00881ACF" w:rsidRDefault="000F6A25" w:rsidP="000F6A25">
            <w:pPr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2. Identificar y analizar críticamente las investigaciones históricas más importantes sobre el pensamiento político moderno.</w:t>
            </w:r>
          </w:p>
          <w:p w14:paraId="1A5F4970" w14:textId="77777777" w:rsidR="000F6A25" w:rsidRPr="00881ACF" w:rsidRDefault="000F6A25" w:rsidP="000F6A25">
            <w:pPr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3. Estudiar analíticamente y problematizar fuentes escritas del periodo estudiado (siglos XVI-XVIII).</w:t>
            </w:r>
          </w:p>
          <w:p w14:paraId="5490FA7E" w14:textId="77777777" w:rsidR="000F6A25" w:rsidRPr="00881ACF" w:rsidRDefault="000F6A25" w:rsidP="000F6A25">
            <w:pPr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lastRenderedPageBreak/>
              <w:t>4. Plantear y argumentar interpretaciones históricas de los temas analizados en torno al pensamiento político desarrollado en la Edad Moderna.</w:t>
            </w:r>
          </w:p>
          <w:p w14:paraId="66F760DE" w14:textId="58E6A570" w:rsidR="007F5608" w:rsidRPr="00881ACF" w:rsidRDefault="000F6A25" w:rsidP="000F6A25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5. Comprender el rol del hombre en la gestación del pensamiento político moderno, determinado por su particular contexto político, social y cultural.</w:t>
            </w:r>
          </w:p>
        </w:tc>
      </w:tr>
      <w:tr w:rsidR="007C2F83" w:rsidRPr="00881ACF" w14:paraId="66F760E1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60E0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E3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60E2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E5" w14:textId="77777777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60E4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E8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6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7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EB" w14:textId="77777777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9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A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EE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C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0ED" w14:textId="77777777" w:rsidR="007C2F83" w:rsidRPr="00881ACF" w:rsidRDefault="007C2F83" w:rsidP="007C2F83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0F1" w14:textId="77777777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EF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60F0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Resultados de aprendizaje específicos de la Unidad</w:t>
            </w:r>
          </w:p>
        </w:tc>
      </w:tr>
      <w:tr w:rsidR="007C2F83" w:rsidRPr="00881ACF" w14:paraId="66F760F4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06A6" w14:textId="77777777" w:rsidR="00AB654B" w:rsidRPr="00881ACF" w:rsidRDefault="000F6A25" w:rsidP="00AB654B">
            <w:pPr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U. 1.: 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“Formación del Estado Moderno. Siglo XVI.”</w:t>
            </w:r>
          </w:p>
          <w:p w14:paraId="5E11B6BB" w14:textId="77777777" w:rsidR="000F6A25" w:rsidRPr="00881ACF" w:rsidRDefault="000F6A25" w:rsidP="000F6A25">
            <w:pPr>
              <w:spacing w:line="276" w:lineRule="auto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1. Nicolás Maquiavelo y las ciudades-estado italianas: los inicios del pensamiento político moderno.</w:t>
            </w:r>
          </w:p>
          <w:p w14:paraId="689C07AA" w14:textId="77777777" w:rsidR="000F6A25" w:rsidRPr="00881ACF" w:rsidRDefault="000F6A25" w:rsidP="000F6A25">
            <w:pPr>
              <w:spacing w:line="276" w:lineRule="auto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El Príncipe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(1513) y los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Discursos sobre la primera década de Tito Livio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(1513-1518).</w:t>
            </w:r>
          </w:p>
          <w:p w14:paraId="44DEE0FF" w14:textId="77777777" w:rsidR="000F6A25" w:rsidRPr="00881ACF" w:rsidRDefault="000F6A25" w:rsidP="000F6A25">
            <w:pPr>
              <w:spacing w:line="276" w:lineRule="auto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2. Tomás Moro y la reflexión política en la Inglaterra Tudor.</w:t>
            </w:r>
          </w:p>
          <w:p w14:paraId="66F760F2" w14:textId="5192846A" w:rsidR="000F6A25" w:rsidRPr="00881ACF" w:rsidRDefault="000F6A25" w:rsidP="000F6A25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Utopía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(1516).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3B9" w14:textId="368820AB" w:rsidR="00AB654B" w:rsidRPr="00881ACF" w:rsidRDefault="00EA3ECC" w:rsidP="00EA3ECC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Conocimiento, comprensión y análisis del surgimiento de nuevas ideas políticas baj</w:t>
            </w:r>
            <w:r w:rsidR="00941F3B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o la obra de Nicolás Maquiavelo, particularmente su visión política de “El Príncipe”.</w:t>
            </w:r>
          </w:p>
          <w:p w14:paraId="66F760F3" w14:textId="65B0B81A" w:rsidR="00EA3ECC" w:rsidRPr="00881ACF" w:rsidRDefault="00EA3ECC" w:rsidP="00EA3ECC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Observar un punto de comparación entre las obras de Maquiavelo con la vida de Tomás Moro. </w:t>
            </w:r>
          </w:p>
        </w:tc>
      </w:tr>
      <w:tr w:rsidR="007C2F83" w:rsidRPr="00881ACF" w14:paraId="66F760F7" w14:textId="77777777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2C26" w14:textId="77777777" w:rsidR="0029097F" w:rsidRPr="00881ACF" w:rsidRDefault="000F6A25" w:rsidP="007C2F83">
            <w:pPr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U.2.: 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“La crisis del sistema político inglés en el siglo XVII”</w:t>
            </w:r>
          </w:p>
          <w:p w14:paraId="0C83FCDB" w14:textId="77777777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1. Contextualización política, cultural y social de la Inglaterra de mediados del siglo XVII</w:t>
            </w:r>
          </w:p>
          <w:p w14:paraId="3E881707" w14:textId="77777777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2. Thomas Hobbes: la guerra civil (1641-1651) y la teoría absolutista.</w:t>
            </w:r>
          </w:p>
          <w:p w14:paraId="05E84D99" w14:textId="77777777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i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 xml:space="preserve">Leviatán 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(1651).</w:t>
            </w:r>
          </w:p>
          <w:p w14:paraId="3BF5A932" w14:textId="2CDF8C0A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3. La “Revolución Gloriosa” y la monarquía constitucional: el problema de la tolerancia religiosa.</w:t>
            </w:r>
          </w:p>
          <w:p w14:paraId="170C34CD" w14:textId="563D7939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Documental</w:t>
            </w:r>
          </w:p>
          <w:p w14:paraId="66F760F5" w14:textId="0A16EF14" w:rsidR="000F6A25" w:rsidRPr="00881ACF" w:rsidRDefault="000F6A25" w:rsidP="000F6A25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Fuente: John Locke,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Ensayo sobre el gobierno civil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(1689).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A9FC" w14:textId="77777777" w:rsidR="0029097F" w:rsidRPr="00881ACF" w:rsidRDefault="00941F3B" w:rsidP="00941F3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Conocimiento de las ideas políticas surgidas en la Inglaterra del siglo XVII, específicamente las desarrolladas por Thomas Hobbes y John Locke.</w:t>
            </w:r>
          </w:p>
          <w:p w14:paraId="66F760F6" w14:textId="35BDFD81" w:rsidR="00941F3B" w:rsidRPr="00881ACF" w:rsidRDefault="00941F3B" w:rsidP="00941F3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Capacidad de analizar las posturas divergentes que ambos autores manif</w:t>
            </w:r>
            <w:r w:rsidR="00431E72"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iestan respecto a la política.</w:t>
            </w:r>
          </w:p>
        </w:tc>
      </w:tr>
      <w:tr w:rsidR="00255E9C" w:rsidRPr="00881ACF" w14:paraId="66F760FC" w14:textId="77777777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AF29" w14:textId="0F605D4C" w:rsidR="00255E9C" w:rsidRPr="00881ACF" w:rsidRDefault="000F6A25" w:rsidP="007C2F83">
            <w:pPr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U. 3.: 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“El absolutismo francés y las teorías del poder político en el siglo XVIII”</w:t>
            </w:r>
          </w:p>
          <w:p w14:paraId="3A392DFD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1. Contextualización política, social y cultural en el reinado de Luis XIV. Orígenes del Absolutismo francés. </w:t>
            </w:r>
          </w:p>
          <w:p w14:paraId="055C26EB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2. El derecho divino de los reyes.</w:t>
            </w:r>
          </w:p>
          <w:p w14:paraId="3B4DB494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Fuente: Jacques Bossuet,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Política según las Sagradas Escrituras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(1709) </w:t>
            </w:r>
          </w:p>
          <w:p w14:paraId="2F1555E0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3. La interpretación del modelo inglés en Montesquieu.</w:t>
            </w:r>
          </w:p>
          <w:p w14:paraId="608C507C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lastRenderedPageBreak/>
              <w:t xml:space="preserve">Fuente: Montesquieu,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El espíritu de las leyes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(1748)</w:t>
            </w:r>
          </w:p>
          <w:p w14:paraId="01F88449" w14:textId="2D1AF6EF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4. Rousseau y Voltaire: la voluntad general y el problema de la tolerancia en la Francia pre Revolución. </w:t>
            </w:r>
          </w:p>
          <w:p w14:paraId="7EE7DB10" w14:textId="35F792D3" w:rsidR="000F6A25" w:rsidRPr="00881ACF" w:rsidRDefault="00BD732F" w:rsidP="00BD732F">
            <w:pPr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Fuentes: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El Contrato Social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(1762).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Cartas sobre la tolerancia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 (1766)</w:t>
            </w:r>
          </w:p>
          <w:p w14:paraId="66F760F8" w14:textId="40780048" w:rsidR="000F6A25" w:rsidRPr="00881ACF" w:rsidRDefault="000F6A25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1FB8" w14:textId="416D5A54" w:rsidR="00431E72" w:rsidRPr="00881ACF" w:rsidRDefault="00431E72" w:rsidP="00431E72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lastRenderedPageBreak/>
              <w:t>Conocer el contexto histórico por el que se desarrollaron las ideas políticas de Montesquieu y Rousseau, particularmente lo observado en el Antiguo Régimen del Absolutismo de Luis XIV.</w:t>
            </w:r>
          </w:p>
          <w:p w14:paraId="1B2F291A" w14:textId="03ACAEEC" w:rsidR="00431E72" w:rsidRPr="00881ACF" w:rsidRDefault="00431E72" w:rsidP="00431E72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 xml:space="preserve">Observar cómo las ideas liberales de las democracias contemporáneas encuentran sus orígenes en ciertas premisas desarrollados por autores que vivieron en la Ilustración francesa. </w:t>
            </w:r>
          </w:p>
          <w:p w14:paraId="66F760FB" w14:textId="77777777" w:rsidR="00255E9C" w:rsidRPr="00881ACF" w:rsidRDefault="00255E9C" w:rsidP="00255E9C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106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103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6F76104" w14:textId="77777777" w:rsidR="00542BCB" w:rsidRPr="00881ACF" w:rsidRDefault="00542BCB" w:rsidP="007C2F83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105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7C2F83" w:rsidRPr="00881ACF" w14:paraId="66F76108" w14:textId="77777777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107" w14:textId="77777777" w:rsidR="007C2F83" w:rsidRPr="00881ACF" w:rsidRDefault="007C2F83" w:rsidP="007C2F83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881ACF" w14:paraId="66F76113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F6F25" w14:textId="77777777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1. Clases expositivas sobre la filosofía política de los Tiempos Modernos (siglos XVI-XVIII), con su respectiva contextualización histórica.</w:t>
            </w:r>
          </w:p>
          <w:p w14:paraId="7DE7B67B" w14:textId="52EF782E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2. Análisis de fuentes: lectura, debate y análisis de textos escritos durante el periodo estudiado.</w:t>
            </w:r>
          </w:p>
          <w:p w14:paraId="47E24FE2" w14:textId="5AD3BA8E" w:rsidR="00BD732F" w:rsidRPr="00881ACF" w:rsidRDefault="00BD732F" w:rsidP="00BD732F">
            <w:pPr>
              <w:spacing w:line="276" w:lineRule="auto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3. Observación y análisis de material fílmico. </w:t>
            </w:r>
          </w:p>
          <w:p w14:paraId="66F76112" w14:textId="5B43ABD1" w:rsidR="007C2F83" w:rsidRPr="00881ACF" w:rsidRDefault="00BD732F" w:rsidP="00BD732F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4. Aplicación de conocimientos en las interpretaciones de problemas históricos en las pruebas escritas y en el ensayo de investigación.</w:t>
            </w:r>
          </w:p>
        </w:tc>
      </w:tr>
      <w:tr w:rsidR="00A22F66" w:rsidRPr="00881ACF" w14:paraId="66F76115" w14:textId="77777777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114" w14:textId="77777777" w:rsidR="00A22F66" w:rsidRPr="00881ACF" w:rsidRDefault="00A22F66" w:rsidP="00A22F66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  <w:t> </w:t>
            </w:r>
          </w:p>
        </w:tc>
      </w:tr>
      <w:tr w:rsidR="00A22F66" w:rsidRPr="00881ACF" w14:paraId="66F76119" w14:textId="77777777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116" w14:textId="77777777" w:rsidR="00A22F66" w:rsidRPr="00881ACF" w:rsidRDefault="00A22F66" w:rsidP="00A22F6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6F76117" w14:textId="77777777" w:rsidR="00542BCB" w:rsidRPr="00881ACF" w:rsidRDefault="00542BCB" w:rsidP="00542BCB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118" w14:textId="77777777" w:rsidR="00A22F66" w:rsidRPr="00881ACF" w:rsidRDefault="00A22F66" w:rsidP="00A22F66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A22F66" w:rsidRPr="00881ACF" w14:paraId="66F7611B" w14:textId="77777777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11A" w14:textId="77777777" w:rsidR="00A22F66" w:rsidRPr="00881ACF" w:rsidRDefault="00A22F66" w:rsidP="00A22F66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Estrategias de evaluación de los aprendizajes</w:t>
            </w:r>
          </w:p>
        </w:tc>
      </w:tr>
      <w:tr w:rsidR="00D65054" w:rsidRPr="00881ACF" w14:paraId="66F7612F" w14:textId="77777777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127" w14:textId="2FFF0855" w:rsidR="002325B6" w:rsidRPr="00881ACF" w:rsidRDefault="00BD732F" w:rsidP="00BD732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Prueba escrita (25%)</w:t>
            </w:r>
          </w:p>
          <w:p w14:paraId="65EF6B3C" w14:textId="6B9B6C73" w:rsidR="00BD732F" w:rsidRPr="00881ACF" w:rsidRDefault="00BD732F" w:rsidP="00BD732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Ensayo de investigación (25%)</w:t>
            </w:r>
          </w:p>
          <w:p w14:paraId="449C683F" w14:textId="5C54A0CE" w:rsidR="00BD732F" w:rsidRPr="00881ACF" w:rsidRDefault="00BD732F" w:rsidP="00BD732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Ensayo de investigación (25%)</w:t>
            </w:r>
          </w:p>
          <w:p w14:paraId="35A9D754" w14:textId="394A2357" w:rsidR="00BD732F" w:rsidRPr="00881ACF" w:rsidRDefault="00BD732F" w:rsidP="00BD732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Examen (25%)</w:t>
            </w:r>
          </w:p>
          <w:p w14:paraId="66F76128" w14:textId="77777777" w:rsidR="002325B6" w:rsidRPr="00881ACF" w:rsidRDefault="002325B6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</w:p>
          <w:p w14:paraId="66F76129" w14:textId="6C3AA0E3" w:rsidR="002325B6" w:rsidRPr="00881ACF" w:rsidRDefault="002325B6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Observaciones:</w:t>
            </w:r>
          </w:p>
          <w:p w14:paraId="66F7612A" w14:textId="203B0DF7" w:rsidR="002325B6" w:rsidRPr="00881ACF" w:rsidRDefault="002325B6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La nota mínima de presentación a examen será de 3,0. Para presentarse a examen se requiere un 60% de asistencia.</w:t>
            </w:r>
          </w:p>
          <w:p w14:paraId="14938CFB" w14:textId="77777777" w:rsidR="00BD732F" w:rsidRPr="00881ACF" w:rsidRDefault="00BD732F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</w:p>
          <w:p w14:paraId="66F7612B" w14:textId="7F3BD1EB" w:rsidR="002325B6" w:rsidRPr="00881ACF" w:rsidRDefault="002325B6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No habrá exámenes de repetición y la nota que se obtenga no estará condicionada p</w:t>
            </w:r>
            <w:r w:rsidR="00BD732F"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 xml:space="preserve">ara aprobar el ramo, es decir, </w:t>
            </w: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>no tendrá carácter de reprobatorio.</w:t>
            </w:r>
          </w:p>
          <w:p w14:paraId="66F7612C" w14:textId="34F12E9D" w:rsidR="002325B6" w:rsidRPr="00881ACF" w:rsidRDefault="002325B6" w:rsidP="002325B6">
            <w:pPr>
              <w:jc w:val="left"/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</w:pPr>
            <w:r w:rsidRPr="00881ACF">
              <w:rPr>
                <w:rFonts w:ascii="Arial Narrow" w:eastAsia="Cambria" w:hAnsi="Arial Narrow" w:cs="Arial"/>
                <w:sz w:val="24"/>
                <w:szCs w:val="24"/>
                <w:lang w:val="es-ES_tradnl" w:eastAsia="es-ES_tradnl"/>
              </w:rPr>
              <w:t xml:space="preserve">La nota de aprobación de la asignatura será 4,0. </w:t>
            </w:r>
          </w:p>
          <w:p w14:paraId="66F7612E" w14:textId="77777777" w:rsidR="00D65054" w:rsidRPr="00881ACF" w:rsidRDefault="00D65054" w:rsidP="00BD732F">
            <w:pPr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s-ES_tradnl" w:eastAsia="es-CL"/>
              </w:rPr>
            </w:pPr>
          </w:p>
        </w:tc>
      </w:tr>
      <w:tr w:rsidR="00A22F66" w:rsidRPr="00881ACF" w14:paraId="66F76132" w14:textId="77777777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6F76130" w14:textId="77777777" w:rsidR="00A22F66" w:rsidRPr="00881ACF" w:rsidRDefault="00A22F66" w:rsidP="00A22F66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6F76131" w14:textId="77777777" w:rsidR="00A22F66" w:rsidRPr="00881ACF" w:rsidRDefault="00A22F66" w:rsidP="00A22F66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A22F66" w:rsidRPr="00881ACF" w14:paraId="66F76134" w14:textId="77777777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6133" w14:textId="77777777" w:rsidR="00A22F66" w:rsidRPr="00881ACF" w:rsidRDefault="00A22F66" w:rsidP="00A22F66">
            <w:pPr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r w:rsidRPr="00881ACF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  <w:t>Recursos de aprendizajes</w:t>
            </w:r>
          </w:p>
        </w:tc>
      </w:tr>
      <w:tr w:rsidR="00354934" w:rsidRPr="00881ACF" w14:paraId="66F76139" w14:textId="77777777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0BA6D" w14:textId="77777777" w:rsidR="00BD732F" w:rsidRPr="00881ACF" w:rsidRDefault="00BD732F" w:rsidP="00BD732F">
            <w:pPr>
              <w:pStyle w:val="Prrafodelista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Bibliografía básica </w:t>
            </w:r>
          </w:p>
          <w:p w14:paraId="60790BE4" w14:textId="77777777" w:rsidR="0024593B" w:rsidRPr="00881ACF" w:rsidRDefault="00BD732F" w:rsidP="00E1612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068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Sabine, George: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Historia de la teoría política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1994.</w:t>
            </w:r>
          </w:p>
          <w:p w14:paraId="15D7A027" w14:textId="1ECA11E8" w:rsidR="00BD732F" w:rsidRPr="00881ACF" w:rsidRDefault="00BD732F" w:rsidP="00E1612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068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Strauss, Leo: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Historia de la filosofía política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199</w:t>
            </w:r>
            <w:r w:rsidR="0024593B" w:rsidRPr="00881ACF">
              <w:rPr>
                <w:rFonts w:ascii="Arial Narrow" w:hAnsi="Arial Narrow" w:cs="Tunga"/>
                <w:sz w:val="24"/>
                <w:szCs w:val="24"/>
              </w:rPr>
              <w:t>7.</w:t>
            </w:r>
          </w:p>
          <w:p w14:paraId="26B2C678" w14:textId="77777777" w:rsidR="0024593B" w:rsidRPr="00881ACF" w:rsidRDefault="0024593B" w:rsidP="0024593B">
            <w:pPr>
              <w:pStyle w:val="Prrafodelista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>Bibliografía complementaria</w:t>
            </w:r>
          </w:p>
          <w:p w14:paraId="69FD334D" w14:textId="40C0275C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Burke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>, Peter: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 xml:space="preserve"> La fabricación de Luis XIV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, Madrid, Alianza, 1999.</w:t>
            </w:r>
          </w:p>
          <w:p w14:paraId="31A5FDD8" w14:textId="373F9FB0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lastRenderedPageBreak/>
              <w:t>Gautier-</w:t>
            </w: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Vignal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Louis: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Maquiavelo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1971.</w:t>
            </w:r>
          </w:p>
          <w:p w14:paraId="48081E63" w14:textId="2B1B855B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Mandrou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Robert: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Francia en los siglos XVII y XVIII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Barcelona, 1973.</w:t>
            </w:r>
          </w:p>
          <w:p w14:paraId="7A828A69" w14:textId="1EACEA6E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Pocock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John: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 xml:space="preserve">Momento maquiavélico: el pensamiento político florentino y la tradición republicana atlántica. 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Madrid, Editorial Tecnos, 2002.</w:t>
            </w:r>
          </w:p>
          <w:p w14:paraId="7D04E529" w14:textId="73281002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Prèvost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André: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Tomás Moro y la crisis del pensamiento europeo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Madrid, Palabra, 1972.</w:t>
            </w:r>
          </w:p>
          <w:p w14:paraId="6B43399E" w14:textId="06BD7A21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Ridolfi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Roberto: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Vida de Nicolás Maquiavelo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Renacimiento, Ciudad de México, México, 1961.</w:t>
            </w:r>
          </w:p>
          <w:p w14:paraId="0D065172" w14:textId="1634E40D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Skinner, Quentin: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Maquiavelo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Madrid, Editorial Alianza, 1984.</w:t>
            </w:r>
          </w:p>
          <w:p w14:paraId="466F3D62" w14:textId="7BEFBB1A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Skinner, Quentin: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Fundamentos del pensamiento político moderno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1985.</w:t>
            </w:r>
          </w:p>
          <w:p w14:paraId="3492B092" w14:textId="01B720F0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Starobinski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Jean: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Montesquieu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2000.</w:t>
            </w:r>
          </w:p>
          <w:p w14:paraId="7A8C8DF4" w14:textId="7FA128E0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Strauss, Leo: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La filosofía política de Hobbes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Ciudad de México, Fondo de Cultura Económica, 2006.</w:t>
            </w:r>
          </w:p>
          <w:p w14:paraId="7D2EBD54" w14:textId="088ED09A" w:rsidR="00BD732F" w:rsidRPr="00881ACF" w:rsidRDefault="00BD732F" w:rsidP="0024593B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059"/>
              <w:jc w:val="left"/>
              <w:rPr>
                <w:rFonts w:ascii="Arial Narrow" w:hAnsi="Arial Narrow" w:cs="Tunga"/>
                <w:sz w:val="24"/>
                <w:szCs w:val="24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Tenenti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Alberto: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De las revueltas a la revolución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Barcelona, 1999.</w:t>
            </w:r>
          </w:p>
          <w:p w14:paraId="66F76138" w14:textId="798A2C69" w:rsidR="00354934" w:rsidRPr="00881ACF" w:rsidRDefault="00BD732F" w:rsidP="0024593B">
            <w:pPr>
              <w:pStyle w:val="Prrafodelista"/>
              <w:numPr>
                <w:ilvl w:val="0"/>
                <w:numId w:val="4"/>
              </w:numPr>
              <w:ind w:left="1059"/>
              <w:jc w:val="lef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es-CL"/>
              </w:rPr>
            </w:pPr>
            <w:proofErr w:type="spellStart"/>
            <w:r w:rsidRPr="00881ACF">
              <w:rPr>
                <w:rFonts w:ascii="Arial Narrow" w:hAnsi="Arial Narrow" w:cs="Tunga"/>
                <w:sz w:val="24"/>
                <w:szCs w:val="24"/>
              </w:rPr>
              <w:t>Tenenti</w:t>
            </w:r>
            <w:proofErr w:type="spellEnd"/>
            <w:r w:rsidRPr="00881ACF">
              <w:rPr>
                <w:rFonts w:ascii="Arial Narrow" w:hAnsi="Arial Narrow" w:cs="Tunga"/>
                <w:sz w:val="24"/>
                <w:szCs w:val="24"/>
              </w:rPr>
              <w:t xml:space="preserve">, Alberto: </w:t>
            </w:r>
            <w:r w:rsidRPr="00881ACF">
              <w:rPr>
                <w:rFonts w:ascii="Arial Narrow" w:hAnsi="Arial Narrow" w:cs="Tunga"/>
                <w:i/>
                <w:sz w:val="24"/>
                <w:szCs w:val="24"/>
              </w:rPr>
              <w:t>La edad moderna: siglos XVI-XVIII</w:t>
            </w:r>
            <w:r w:rsidRPr="00881ACF">
              <w:rPr>
                <w:rFonts w:ascii="Arial Narrow" w:hAnsi="Arial Narrow" w:cs="Tunga"/>
                <w:sz w:val="24"/>
                <w:szCs w:val="24"/>
              </w:rPr>
              <w:t>. Barcelona, Crítica, 2003.</w:t>
            </w:r>
          </w:p>
        </w:tc>
      </w:tr>
    </w:tbl>
    <w:p w14:paraId="66F7613A" w14:textId="77777777" w:rsidR="00D65054" w:rsidRPr="00881ACF" w:rsidRDefault="00D65054">
      <w:pPr>
        <w:rPr>
          <w:rFonts w:ascii="Arial Narrow" w:hAnsi="Arial Narrow"/>
          <w:sz w:val="24"/>
          <w:szCs w:val="24"/>
        </w:rPr>
      </w:pPr>
    </w:p>
    <w:p w14:paraId="66F7613B" w14:textId="77777777" w:rsidR="00D65054" w:rsidRPr="00881ACF" w:rsidRDefault="00D65054">
      <w:pPr>
        <w:rPr>
          <w:rFonts w:ascii="Arial Narrow" w:hAnsi="Arial Narrow"/>
          <w:sz w:val="24"/>
          <w:szCs w:val="24"/>
        </w:rPr>
      </w:pPr>
    </w:p>
    <w:sectPr w:rsidR="00D65054" w:rsidRPr="00881ACF" w:rsidSect="002325B6">
      <w:headerReference w:type="default" r:id="rId8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DFBC" w14:textId="77777777" w:rsidR="00F64F8E" w:rsidRDefault="00F64F8E" w:rsidP="0093734A">
      <w:r>
        <w:separator/>
      </w:r>
    </w:p>
  </w:endnote>
  <w:endnote w:type="continuationSeparator" w:id="0">
    <w:p w14:paraId="5D9277B7" w14:textId="77777777" w:rsidR="00F64F8E" w:rsidRDefault="00F64F8E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4A5F" w14:textId="77777777" w:rsidR="00F64F8E" w:rsidRDefault="00F64F8E" w:rsidP="0093734A">
      <w:r>
        <w:separator/>
      </w:r>
    </w:p>
  </w:footnote>
  <w:footnote w:type="continuationSeparator" w:id="0">
    <w:p w14:paraId="28702B57" w14:textId="77777777" w:rsidR="00F64F8E" w:rsidRDefault="00F64F8E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6140" w14:textId="77777777"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66F76142" wp14:editId="66F76143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76141" w14:textId="77777777"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46A2"/>
    <w:multiLevelType w:val="hybridMultilevel"/>
    <w:tmpl w:val="85A0F532"/>
    <w:lvl w:ilvl="0" w:tplc="8F042E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C7F"/>
    <w:multiLevelType w:val="hybridMultilevel"/>
    <w:tmpl w:val="784EE806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060C"/>
    <w:multiLevelType w:val="hybridMultilevel"/>
    <w:tmpl w:val="5542178A"/>
    <w:lvl w:ilvl="0" w:tplc="A84E2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4384"/>
    <w:multiLevelType w:val="hybridMultilevel"/>
    <w:tmpl w:val="A5147060"/>
    <w:lvl w:ilvl="0" w:tplc="67E2AB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24B6"/>
    <w:multiLevelType w:val="hybridMultilevel"/>
    <w:tmpl w:val="9FC012CA"/>
    <w:lvl w:ilvl="0" w:tplc="91F6F4D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0F6A25"/>
    <w:rsid w:val="00117B11"/>
    <w:rsid w:val="00205CDF"/>
    <w:rsid w:val="002325B6"/>
    <w:rsid w:val="0024593B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31E72"/>
    <w:rsid w:val="0044673A"/>
    <w:rsid w:val="00452305"/>
    <w:rsid w:val="0045360F"/>
    <w:rsid w:val="004974B8"/>
    <w:rsid w:val="00542BCB"/>
    <w:rsid w:val="005A5370"/>
    <w:rsid w:val="005E752D"/>
    <w:rsid w:val="005F3511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81ACF"/>
    <w:rsid w:val="00890C21"/>
    <w:rsid w:val="00925753"/>
    <w:rsid w:val="00930A1A"/>
    <w:rsid w:val="0093734A"/>
    <w:rsid w:val="00937BB6"/>
    <w:rsid w:val="00941F3B"/>
    <w:rsid w:val="009726C8"/>
    <w:rsid w:val="00972D2A"/>
    <w:rsid w:val="009C59D3"/>
    <w:rsid w:val="009E0829"/>
    <w:rsid w:val="00A22F66"/>
    <w:rsid w:val="00A34EB5"/>
    <w:rsid w:val="00A66AE7"/>
    <w:rsid w:val="00AA39BE"/>
    <w:rsid w:val="00AB654B"/>
    <w:rsid w:val="00B12C2E"/>
    <w:rsid w:val="00B416FC"/>
    <w:rsid w:val="00BD732F"/>
    <w:rsid w:val="00C246AD"/>
    <w:rsid w:val="00C53543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A1872"/>
    <w:rsid w:val="00EA3ECC"/>
    <w:rsid w:val="00F64F8E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097"/>
  <w15:chartTrackingRefBased/>
  <w15:docId w15:val="{381014A2-CDE0-4CDE-985A-F28838B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character" w:styleId="Hipervnculo">
    <w:name w:val="Hyperlink"/>
    <w:basedOn w:val="Fuentedeprrafopredeter"/>
    <w:uiPriority w:val="99"/>
    <w:unhideWhenUsed/>
    <w:rsid w:val="000F6A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A2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D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uerra@uand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Sofia Lucila de Leon Bassi</cp:lastModifiedBy>
  <cp:revision>6</cp:revision>
  <dcterms:created xsi:type="dcterms:W3CDTF">2019-06-27T22:00:00Z</dcterms:created>
  <dcterms:modified xsi:type="dcterms:W3CDTF">2019-07-03T15:14:00Z</dcterms:modified>
</cp:coreProperties>
</file>