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2551"/>
      </w:tblGrid>
      <w:tr w:rsidR="00B55501" w:rsidTr="00B55501">
        <w:trPr>
          <w:trHeight w:val="360"/>
        </w:trPr>
        <w:tc>
          <w:tcPr>
            <w:tcW w:w="8505" w:type="dxa"/>
            <w:gridSpan w:val="2"/>
            <w:noWrap/>
            <w:vAlign w:val="center"/>
            <w:hideMark/>
          </w:tcPr>
          <w:p w:rsidR="00B55501" w:rsidRDefault="00B55501">
            <w:pPr>
              <w:spacing w:line="252" w:lineRule="auto"/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Teología III: “Los vicios capitales en la tradición cristiana”.</w:t>
            </w:r>
          </w:p>
          <w:p w:rsidR="00B55501" w:rsidRDefault="00B55501">
            <w:pPr>
              <w:spacing w:line="252" w:lineRule="auto"/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B55501" w:rsidTr="00B55501">
        <w:trPr>
          <w:trHeight w:val="80"/>
        </w:trPr>
        <w:tc>
          <w:tcPr>
            <w:tcW w:w="5954" w:type="dxa"/>
            <w:hideMark/>
          </w:tcPr>
          <w:p w:rsidR="00B55501" w:rsidRDefault="00B55501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hideMark/>
          </w:tcPr>
          <w:p w:rsidR="00B55501" w:rsidRDefault="00B55501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CEG</w:t>
            </w: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FMR 0002</w:t>
            </w: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9A7512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1er</w:t>
            </w:r>
            <w:r w:rsidR="00B55501">
              <w:rPr>
                <w:rFonts w:eastAsia="Times New Roman" w:cs="Arial"/>
                <w:color w:val="000000" w:themeColor="text1"/>
                <w:lang w:eastAsia="es-CL"/>
              </w:rPr>
              <w:t xml:space="preserve"> semestre 2021 (</w:t>
            </w:r>
            <w:r w:rsidR="00B55501">
              <w:rPr>
                <w:rFonts w:eastAsia="Times New Roman" w:cs="Arial"/>
                <w:b/>
                <w:color w:val="000000" w:themeColor="text1"/>
                <w:lang w:eastAsia="es-CL"/>
              </w:rPr>
              <w:t xml:space="preserve">Miércoles 17:30 a 19:20) </w:t>
            </w: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NRC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B55501" w:rsidTr="00B55501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2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  <w:r>
              <w:rPr>
                <w:rFonts w:eastAsia="Times New Roman" w:cs="Arial"/>
                <w:color w:val="000000" w:themeColor="text1"/>
                <w:lang w:eastAsia="es-CL"/>
              </w:rPr>
              <w:t>. semanales (30-32)</w:t>
            </w: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B55501" w:rsidTr="00B55501">
        <w:trPr>
          <w:trHeight w:val="300"/>
        </w:trPr>
        <w:tc>
          <w:tcPr>
            <w:tcW w:w="5954" w:type="dxa"/>
            <w:hideMark/>
          </w:tcPr>
          <w:p w:rsidR="00B55501" w:rsidRDefault="00B55501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hideMark/>
          </w:tcPr>
          <w:p w:rsidR="00B55501" w:rsidRDefault="00B55501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Nicolás González Vidal</w:t>
            </w:r>
          </w:p>
          <w:p w:rsidR="00B55501" w:rsidRDefault="008C057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hyperlink r:id="rId6" w:history="1">
              <w:r w:rsidR="00B55501">
                <w:rPr>
                  <w:rStyle w:val="Hipervnculo"/>
                  <w:rFonts w:eastAsia="Times New Roman" w:cs="Arial"/>
                  <w:lang w:eastAsia="es-CL"/>
                </w:rPr>
                <w:t>nigonzalezv@uandes.cl</w:t>
              </w:r>
            </w:hyperlink>
            <w:r w:rsidR="00B55501">
              <w:rPr>
                <w:rFonts w:eastAsia="Times New Roman" w:cs="Arial"/>
                <w:color w:val="000000" w:themeColor="text1"/>
                <w:lang w:eastAsia="es-CL"/>
              </w:rPr>
              <w:t xml:space="preserve">  </w:t>
            </w:r>
            <w:hyperlink r:id="rId7" w:history="1">
              <w:r w:rsidR="00B55501">
                <w:rPr>
                  <w:rStyle w:val="Hipervnculo"/>
                  <w:rFonts w:eastAsia="Times New Roman" w:cs="Arial"/>
                  <w:lang w:eastAsia="es-CL"/>
                </w:rPr>
                <w:t>nigonzalezv@gmail.com</w:t>
              </w:r>
            </w:hyperlink>
            <w:r w:rsidR="00B55501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</w:p>
        </w:tc>
      </w:tr>
      <w:tr w:rsidR="00B55501" w:rsidTr="00B55501">
        <w:trPr>
          <w:trHeight w:val="300"/>
        </w:trPr>
        <w:tc>
          <w:tcPr>
            <w:tcW w:w="5954" w:type="dxa"/>
            <w:hideMark/>
          </w:tcPr>
          <w:p w:rsidR="00B55501" w:rsidRDefault="00B55501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hideMark/>
          </w:tcPr>
          <w:p w:rsidR="00B55501" w:rsidRDefault="00B55501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B55501" w:rsidTr="00B5550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B55501" w:rsidTr="00B55501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Para los autores medievales, junto con el conocimiento de Dios, el saber acerca del hombre mismo será su principal objeto de interés, dejando en un segundo plano todo lo relativo a la naturaleza y el mundo físico. 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Ahora bien, uno de los ámbitos donde esta preocupación por el conocimiento de sí mismo se revela con particular genio y profundidad es el de la doctrina sobre los ‘vicios capitales’ (soberbia, vanagloria, avaricia, envidia, ira, acedia, gula y lujuria). En efecto, la especulación en torno a estos vicios pretende desentrañar las dimensiones del mal al interior del hombre, en todas sus manifestaciones, dinamismos y conexiones.</w:t>
            </w:r>
          </w:p>
          <w:p w:rsidR="00B55501" w:rsidRDefault="00B55501" w:rsidP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El legado que la cultura patrística y medieval nos deja en torno a los vicios capitales es de una riqueza enorme y vale la pena conocerlo, sobre todo si se tiene a la vista la perenne vigencia de estas miserias humanas que, como tales, no pierden nada de su actualidad con el paso de los siglos.</w:t>
            </w:r>
          </w:p>
        </w:tc>
      </w:tr>
      <w:tr w:rsidR="00B55501" w:rsidTr="00B555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01" w:rsidRDefault="00B55501">
            <w:pPr>
              <w:spacing w:line="256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26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01" w:rsidRDefault="00B55501">
            <w:pPr>
              <w:spacing w:line="256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 / Graduación</w:t>
            </w:r>
          </w:p>
        </w:tc>
      </w:tr>
      <w:tr w:rsidR="00B55501" w:rsidTr="00B55501">
        <w:trPr>
          <w:trHeight w:val="316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501" w:rsidRDefault="00B55501">
            <w:pPr>
              <w:pBdr>
                <w:bottom w:val="single" w:sz="4" w:space="1" w:color="auto"/>
              </w:pBd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B55501" w:rsidRDefault="00B55501">
            <w:pPr>
              <w:pBdr>
                <w:bottom w:val="single" w:sz="4" w:space="1" w:color="auto"/>
              </w:pBd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B55501" w:rsidRDefault="00B55501">
            <w:pPr>
              <w:pBdr>
                <w:bottom w:val="single" w:sz="4" w:space="1" w:color="auto"/>
              </w:pBd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B55501" w:rsidRDefault="00B55501">
            <w:pPr>
              <w:pBdr>
                <w:bottom w:val="single" w:sz="4" w:space="1" w:color="auto"/>
              </w:pBd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501" w:rsidRDefault="00B55501">
            <w:pPr>
              <w:spacing w:line="256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501" w:rsidRDefault="00B55501">
            <w:pPr>
              <w:spacing w:line="256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80"/>
        </w:trPr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54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B55501" w:rsidTr="00B55501">
        <w:trPr>
          <w:trHeight w:val="45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501" w:rsidRDefault="00B55501">
            <w:pPr>
              <w:spacing w:line="252" w:lineRule="auto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Realizar una presentación general de la historia y sistematización de los pecados capitales y exponer algunos de los tratamientos que diversos autores han realizado de algunos dichos pecados en particular.</w:t>
            </w:r>
          </w:p>
        </w:tc>
      </w:tr>
      <w:tr w:rsidR="00B55501" w:rsidTr="00B555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01" w:rsidRDefault="00B55501">
            <w:pPr>
              <w:spacing w:line="256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01" w:rsidRDefault="00B55501">
            <w:pPr>
              <w:spacing w:line="256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01" w:rsidRDefault="00B55501">
            <w:pPr>
              <w:spacing w:line="256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  <w:hideMark/>
          </w:tcPr>
          <w:p w:rsidR="00B55501" w:rsidRDefault="00B55501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hideMark/>
          </w:tcPr>
          <w:p w:rsidR="00B55501" w:rsidRDefault="00B55501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B55501" w:rsidTr="00B55501">
        <w:trPr>
          <w:trHeight w:val="87"/>
        </w:trPr>
        <w:tc>
          <w:tcPr>
            <w:tcW w:w="5954" w:type="dxa"/>
            <w:hideMark/>
          </w:tcPr>
          <w:p w:rsidR="00B55501" w:rsidRDefault="00B55501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hideMark/>
          </w:tcPr>
          <w:p w:rsidR="00B55501" w:rsidRDefault="00B55501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B55501" w:rsidTr="00B55501">
        <w:trPr>
          <w:trHeight w:val="80"/>
        </w:trPr>
        <w:tc>
          <w:tcPr>
            <w:tcW w:w="5954" w:type="dxa"/>
            <w:hideMark/>
          </w:tcPr>
          <w:p w:rsidR="00B55501" w:rsidRDefault="00B55501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hideMark/>
          </w:tcPr>
          <w:p w:rsidR="00B55501" w:rsidRDefault="00B55501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B55501" w:rsidTr="00B55501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I.-Narcisismo, sadismo y destructividad según Erich Fromm.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II.- El problema moral y la elección. Moral, norma y libertad.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III.- El origen del mal según Juan Pablo II y Romano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es-CL"/>
              </w:rPr>
              <w:t>Guardini</w:t>
            </w:r>
            <w:proofErr w:type="spellEnd"/>
            <w:r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IV.- Los pecados capitales: concepto, naturaleza y características.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V.- La soberbia y la vanagloria en Juan Casiano, Gregorio Magno y Tomás de Aquino.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VI.- La envidia en Basilio de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es-CL"/>
              </w:rPr>
              <w:t>Cesarea</w:t>
            </w:r>
            <w:proofErr w:type="spellEnd"/>
            <w:r>
              <w:rPr>
                <w:rFonts w:eastAsia="Times New Roman" w:cs="Arial"/>
                <w:color w:val="000000" w:themeColor="text1"/>
                <w:lang w:eastAsia="es-CL"/>
              </w:rPr>
              <w:t>, Agustín de Hipona y Gregorio Magno.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VII.- La envidia en Aristóteles y Tomás de Aquino.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VIII.- El resentimiento en Friedrich Nietzsche y Max Scheler.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IX.- La simulación y la hipocresía en Gregorio Magno y Tomás de Aquino.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X.- La ira, el odio y la venganza en Tomás de Aquino / El perdón en autores contemporáneos.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El curso se desarrollará, principalmente, a través de clases expositivas y comentario de textos, abiertas al diálogo y la discusión. Tal diálogo y análisis surgirá a partir de los comentarios, reflexiones y preguntas de los mismos alumnos, por lo que se agradecerá su activa participación durante las clases.</w:t>
            </w: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</w:tcPr>
          <w:p w:rsidR="00B55501" w:rsidRDefault="00B55501">
            <w:pPr>
              <w:spacing w:line="252" w:lineRule="auto"/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hideMark/>
          </w:tcPr>
          <w:p w:rsidR="00B55501" w:rsidRDefault="00B55501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55501" w:rsidTr="00B5550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B55501" w:rsidTr="00B55501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Cambria" w:cs="Arial"/>
                <w:lang w:val="es-ES_tradnl" w:eastAsia="es-ES_tradn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- Evaluación 1: Ensayo : 35%</w:t>
            </w:r>
          </w:p>
          <w:p w:rsidR="00B55501" w:rsidRDefault="00B55501">
            <w:pPr>
              <w:spacing w:line="252" w:lineRule="auto"/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- Evaluación 2: Ensayo : 35%</w:t>
            </w:r>
          </w:p>
          <w:p w:rsidR="00B55501" w:rsidRDefault="00B55501">
            <w:pPr>
              <w:spacing w:line="252" w:lineRule="auto"/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- Evaluación final: Examen: 30% </w:t>
            </w:r>
          </w:p>
          <w:p w:rsidR="00B55501" w:rsidRDefault="00B55501">
            <w:pPr>
              <w:spacing w:line="252" w:lineRule="auto"/>
              <w:jc w:val="left"/>
              <w:rPr>
                <w:rFonts w:eastAsia="Cambria" w:cs="Arial"/>
                <w:lang w:val="es-ES_tradnl" w:eastAsia="es-ES_tradnl"/>
              </w:rPr>
            </w:pPr>
          </w:p>
          <w:p w:rsidR="00B55501" w:rsidRDefault="00B55501">
            <w:pPr>
              <w:spacing w:line="252" w:lineRule="auto"/>
              <w:rPr>
                <w:rFonts w:eastAsia="Cambria" w:cs="Arial"/>
                <w:b/>
                <w:lang w:val="es-ES_tradnl" w:eastAsia="es-ES_tradnl"/>
              </w:rPr>
            </w:pPr>
            <w:r>
              <w:rPr>
                <w:rFonts w:eastAsia="Cambria" w:cs="Arial"/>
                <w:b/>
                <w:lang w:val="es-ES_tradnl" w:eastAsia="es-ES_tradnl"/>
              </w:rPr>
              <w:lastRenderedPageBreak/>
              <w:t xml:space="preserve">-Las instrucciones y la pauta de evaluación de los ensayos serán subidas a </w:t>
            </w:r>
            <w:proofErr w:type="spellStart"/>
            <w:r>
              <w:rPr>
                <w:rFonts w:eastAsia="Cambria" w:cs="Arial"/>
                <w:b/>
                <w:lang w:val="es-ES_tradnl" w:eastAsia="es-ES_tradnl"/>
              </w:rPr>
              <w:t>Canvas</w:t>
            </w:r>
            <w:proofErr w:type="spellEnd"/>
            <w:r>
              <w:rPr>
                <w:rFonts w:eastAsia="Cambria" w:cs="Arial"/>
                <w:b/>
                <w:lang w:val="es-ES_tradnl" w:eastAsia="es-ES_tradnl"/>
              </w:rPr>
              <w:t xml:space="preserve"> y debidamente explicadas por el profesor</w:t>
            </w:r>
          </w:p>
          <w:p w:rsidR="00B55501" w:rsidRDefault="00B55501">
            <w:pPr>
              <w:spacing w:line="252" w:lineRule="auto"/>
              <w:jc w:val="left"/>
              <w:rPr>
                <w:rFonts w:eastAsia="Cambria" w:cs="Arial"/>
                <w:lang w:val="es-ES_tradnl" w:eastAsia="es-ES_tradnl"/>
              </w:rPr>
            </w:pPr>
          </w:p>
          <w:p w:rsidR="00B55501" w:rsidRDefault="00B55501">
            <w:pPr>
              <w:spacing w:line="252" w:lineRule="auto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La nota mínima de presentación a examen será de 3,0. </w:t>
            </w:r>
          </w:p>
          <w:p w:rsidR="00B55501" w:rsidRDefault="00B55501">
            <w:pPr>
              <w:spacing w:line="252" w:lineRule="auto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No habrá exámenes de repetición y la nota que se obtenga no estará condicionada para aprobar el ramo, es decir, no tendrá carácter de reprobatorio.</w:t>
            </w:r>
          </w:p>
          <w:p w:rsidR="00B55501" w:rsidRDefault="00B55501">
            <w:pPr>
              <w:spacing w:line="252" w:lineRule="auto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La nota de aprobación de la asignatura será de un 4,0. </w:t>
            </w:r>
          </w:p>
          <w:p w:rsidR="00B55501" w:rsidRDefault="00B55501">
            <w:pPr>
              <w:spacing w:line="252" w:lineRule="auto"/>
              <w:jc w:val="left"/>
              <w:rPr>
                <w:rFonts w:eastAsia="Cambria" w:cs="Arial"/>
                <w:lang w:val="es-ES_tradnl" w:eastAsia="es-ES_tradnl"/>
              </w:rPr>
            </w:pPr>
          </w:p>
        </w:tc>
      </w:tr>
      <w:tr w:rsidR="00B55501" w:rsidTr="00B5550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5501" w:rsidRDefault="00B55501">
            <w:pPr>
              <w:rPr>
                <w:rFonts w:eastAsia="Cambria" w:cs="Arial"/>
                <w:lang w:val="es-ES_tradnl" w:eastAsia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5501" w:rsidRDefault="00B55501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B55501" w:rsidTr="00B5550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B55501" w:rsidTr="00B5550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-Selección de textos entregada por el profesor.</w:t>
            </w: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Bibliografía complementaria o de consulta:</w:t>
            </w: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u w:val="single"/>
                <w:lang w:eastAsia="es-CL"/>
              </w:rPr>
              <w:t>Libros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:</w:t>
            </w: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-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Agustín,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Confesiones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estudio preliminar, traducción directa y notas de Silvia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Magnavacca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Losada, Buenos Aires, 2005.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-Aristóteles,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Retórica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introducción, traducción y notas de Quintín Racionero, Gredos, Madrid, 2000.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-Basilio de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Cesarea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Sobre la envidia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en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Panegíricos a los mártires-Homilías contra las pasiones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Ciudad Nueva, Madrid, 2007.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-Casiano, Juan,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Colaciones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I, 2ª edición,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Rialp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Madrid, 1998.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Colaciones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II, 2ª edición,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Rialp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Madrid, 1998.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Instituciones Cenobíticas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traducción de Mauro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Matthei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Ecuam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Zamora, 2000.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-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Evagrio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Póntico,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Obras espirituales. Tratado práctico, A los monjes, Exhortación a una virgen, Sobre la oración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introducción y notas de José I. González Villanueva y traducción de Juan Pablo Rubio Sadia, Ciudad Nueva, Madrid, 1995.</w:t>
            </w:r>
          </w:p>
          <w:p w:rsidR="00B55501" w:rsidRDefault="00B55501">
            <w:pPr>
              <w:spacing w:line="252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-Gregorio Magno,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Los morales del papa San Gregorio Magno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4 tomos,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Poblet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Buenos Aires, 1945.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Libros morales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/1 (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Moralia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in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Iob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), tomo I (I a V) introducción, traducción y notas de José Rico Pavés, Ciudad Nueva, Madrid, 1998.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Libros morales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/2 (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Moralia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in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Iob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), tomo II (VI a X) introducción, traducción y notas de José Rico Pavés, Ciudad Nueva, Madrid, 2004.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-Tomás de Aquino,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Cuestiones disputadas sobre el mal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Eunsa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Pamplona, 1997.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Suma de Teología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4 vols., 4ª edición, BAC, Madrid, 2001.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-Scheler, Max,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El resentimiento en la moral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2° edición, Caparrós editores, Madrid, 1998.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-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Baasten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, Matthew, </w:t>
            </w:r>
            <w:r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 xml:space="preserve">Pride according to Gregory the Great. A Study of the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>Moralia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, The Edwin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Mellen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 Press, U.S.A, 1986.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-Casagrande, Carla,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Vecchio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Silvana,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I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sette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vizi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capitali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.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Storia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dei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peccati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nel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Medioevo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Einaudi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Torino, 2000.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-González, Nicolás,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Inconsciente, conflicto y autoengaño. La psicología de Gregorio Magno en el Comentario al Libro de Job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Eunsa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Pamplona, 2014.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-González, Nicolás,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La pasión de la tristeza y su relación con la moralidad en santo Tomás de Aquino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Cuadernos de Anuario Filosófico, Pamplona, 2008.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-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Guardini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Romano,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El comienzo de todas las cosas. Meditaciones sobre el Génesis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Agape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Buenos Aires, 2009.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lastRenderedPageBreak/>
              <w:t>-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Larchet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Jean-Claude,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Terapia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delle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malattia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spirituali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.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Un’introduzione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alla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tradizione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ascetica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della</w:t>
            </w:r>
            <w:proofErr w:type="spellEnd"/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Chiesa ortodoxa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San Paolo, Milano, 2003.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-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Schimmel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, Solomon, </w:t>
            </w:r>
            <w:r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>The seven deadly sins. Jewish, Christian, and Classical Reflections on Human Nature</w:t>
            </w: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, The Free Press, New York, 1992.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-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Schoeck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Helmut,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La envidia. Una teoría de la sociedad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Club de Lectores, Buenos Aires, 1969.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-Wojtyla,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Karol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Signo de contradicción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BAC, Madrid, 1979.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proofErr w:type="spellStart"/>
            <w:r>
              <w:rPr>
                <w:rFonts w:eastAsia="Times New Roman" w:cs="Arial"/>
                <w:bCs/>
                <w:color w:val="000000" w:themeColor="text1"/>
                <w:u w:val="single"/>
                <w:lang w:val="en-US" w:eastAsia="es-CL"/>
              </w:rPr>
              <w:t>Artículos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: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-Bloomfield, Morton W., ‘The Origin of the Concept of the Seven Cardinal Sins’, </w:t>
            </w:r>
            <w:r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>Harvard Theological Review</w:t>
            </w: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, vol. 34, No. 2 (Apr., 1941),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págs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. 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121-128.</w:t>
            </w:r>
          </w:p>
          <w:p w:rsidR="00B55501" w:rsidRDefault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-Echavarría, Martín F., ‘La soberbia y la lujuria como patologías centrales de la psique según Alfred Adler y Santo Tomás de Aquino’, en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La psicología ante la gracia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2ª edición corregida y ampliada, dirigida por Ignacio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Andereggen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y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Zelmira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Seligman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Educa, Buenos Aires, 1999.</w:t>
            </w:r>
          </w:p>
          <w:p w:rsidR="00B55501" w:rsidRPr="00B55501" w:rsidRDefault="00B55501" w:rsidP="00B55501">
            <w:pPr>
              <w:spacing w:line="252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-Wenzel, Siegfried, ‘The Seven Deadly Sins: Some Problems of Research’, </w:t>
            </w:r>
            <w:r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>Speculum</w:t>
            </w: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vol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 43, No. 1 (Jan., 1968),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págs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. 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1-22.</w:t>
            </w:r>
          </w:p>
        </w:tc>
      </w:tr>
    </w:tbl>
    <w:p w:rsidR="00B55501" w:rsidRDefault="00B55501" w:rsidP="00B55501"/>
    <w:p w:rsidR="00B55501" w:rsidRDefault="00B55501" w:rsidP="00B55501"/>
    <w:tbl>
      <w:tblPr>
        <w:tblStyle w:val="TableGrid"/>
        <w:tblW w:w="9057" w:type="dxa"/>
        <w:tblInd w:w="-170" w:type="dxa"/>
        <w:tblCellMar>
          <w:top w:w="105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2008"/>
        <w:gridCol w:w="1678"/>
        <w:gridCol w:w="1700"/>
        <w:gridCol w:w="1300"/>
        <w:gridCol w:w="992"/>
        <w:gridCol w:w="1379"/>
      </w:tblGrid>
      <w:tr w:rsidR="00B55501" w:rsidTr="00B55501">
        <w:trPr>
          <w:trHeight w:val="372"/>
        </w:trPr>
        <w:tc>
          <w:tcPr>
            <w:tcW w:w="9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01" w:rsidRDefault="00B55501">
            <w:pPr>
              <w:jc w:val="left"/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 xml:space="preserve">Cronograma de actividades  </w:t>
            </w:r>
          </w:p>
        </w:tc>
      </w:tr>
      <w:tr w:rsidR="00B55501" w:rsidTr="00B55501">
        <w:trPr>
          <w:trHeight w:val="41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Contenido/Unidad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Actividad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Fecha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Evaluación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Fecha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Docente</w:t>
            </w:r>
          </w:p>
        </w:tc>
      </w:tr>
      <w:tr w:rsidR="00B55501" w:rsidTr="00B55501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Introducción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10/3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B55501" w:rsidTr="00B55501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17/3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B55501" w:rsidTr="00B55501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II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24/3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B55501" w:rsidTr="00B55501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III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31/3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B55501" w:rsidTr="00B55501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IV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7/4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B55501" w:rsidTr="00B55501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V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14/4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B55501" w:rsidTr="00B55501">
        <w:trPr>
          <w:trHeight w:val="3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9A7512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V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Pr="00B55501" w:rsidRDefault="00B55501" w:rsidP="00C45903">
            <w:pPr>
              <w:jc w:val="center"/>
              <w:rPr>
                <w:lang w:val="es-ES" w:eastAsia="es-ES"/>
              </w:rPr>
            </w:pPr>
            <w:r w:rsidRPr="00B55501"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Pr="00B55501" w:rsidRDefault="00B55501" w:rsidP="00C45903">
            <w:pPr>
              <w:jc w:val="center"/>
              <w:rPr>
                <w:lang w:val="es-ES" w:eastAsia="es-ES"/>
              </w:rPr>
            </w:pPr>
            <w:r w:rsidRPr="00B55501">
              <w:rPr>
                <w:lang w:val="es-ES" w:eastAsia="es-ES"/>
              </w:rPr>
              <w:t>21/4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b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B55501" w:rsidTr="00B55501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EVALUACIÓN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28/4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ENSAYO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9A7512" w:rsidP="00C45903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28/4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</w:tr>
      <w:tr w:rsidR="00B55501" w:rsidTr="00B55501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9A7512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VI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5/5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B55501" w:rsidTr="00B55501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9A7512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VII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b/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12/5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B55501" w:rsidTr="00B55501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9A7512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VIII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19/5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B55501" w:rsidTr="00B55501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9A7512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IX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26/5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B55501" w:rsidTr="00B55501">
        <w:trPr>
          <w:trHeight w:val="3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9A7512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IX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2/6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B55501" w:rsidTr="00B55501">
        <w:trPr>
          <w:trHeight w:val="3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X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b/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9/6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rFonts w:eastAsia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B55501" w:rsidTr="00B55501">
        <w:trPr>
          <w:trHeight w:val="3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EVALUACIÓN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Pr="00B55501" w:rsidRDefault="00B55501" w:rsidP="00C45903">
            <w:pPr>
              <w:jc w:val="center"/>
              <w:rPr>
                <w:b/>
                <w:lang w:val="es-ES" w:eastAsia="es-ES"/>
              </w:rPr>
            </w:pPr>
            <w:r w:rsidRPr="00B55501">
              <w:rPr>
                <w:b/>
                <w:lang w:val="es-ES" w:eastAsia="es-ES"/>
              </w:rPr>
              <w:t>16/6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ENSAYO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01" w:rsidRPr="009A7512" w:rsidRDefault="00B55501" w:rsidP="00C45903">
            <w:pPr>
              <w:jc w:val="center"/>
              <w:rPr>
                <w:b/>
                <w:lang w:val="es-ES" w:eastAsia="es-ES"/>
              </w:rPr>
            </w:pPr>
            <w:r w:rsidRPr="009A7512">
              <w:rPr>
                <w:b/>
                <w:lang w:val="es-ES" w:eastAsia="es-ES"/>
              </w:rPr>
              <w:t>16/6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</w:tr>
      <w:tr w:rsidR="00B55501" w:rsidTr="00B55501">
        <w:trPr>
          <w:trHeight w:val="3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01" w:rsidRDefault="009A7512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Síntesis y co</w:t>
            </w:r>
            <w:r w:rsidR="00C45903">
              <w:rPr>
                <w:lang w:val="es-ES" w:eastAsia="es-ES"/>
              </w:rPr>
              <w:t>n</w:t>
            </w:r>
            <w:r>
              <w:rPr>
                <w:lang w:val="es-ES" w:eastAsia="es-ES"/>
              </w:rPr>
              <w:t>clusión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9A7512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Pr="00B55501" w:rsidRDefault="00B55501" w:rsidP="00C45903">
            <w:pPr>
              <w:jc w:val="center"/>
              <w:rPr>
                <w:lang w:val="es-ES" w:eastAsia="es-ES"/>
              </w:rPr>
            </w:pPr>
            <w:r w:rsidRPr="00B55501">
              <w:rPr>
                <w:lang w:val="es-ES" w:eastAsia="es-ES"/>
              </w:rPr>
              <w:t>23/6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1" w:rsidRDefault="00B55501" w:rsidP="00C45903">
            <w:pPr>
              <w:jc w:val="center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01" w:rsidRDefault="009A7512" w:rsidP="00C45903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  <w:bookmarkStart w:id="0" w:name="_GoBack"/>
        <w:bookmarkEnd w:id="0"/>
      </w:tr>
    </w:tbl>
    <w:p w:rsidR="00DC6062" w:rsidRDefault="00DC6062"/>
    <w:sectPr w:rsidR="00DC606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71" w:rsidRDefault="008C0571" w:rsidP="004F453F">
      <w:r>
        <w:separator/>
      </w:r>
    </w:p>
  </w:endnote>
  <w:endnote w:type="continuationSeparator" w:id="0">
    <w:p w:rsidR="008C0571" w:rsidRDefault="008C0571" w:rsidP="004F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196110"/>
      <w:docPartObj>
        <w:docPartGallery w:val="Page Numbers (Bottom of Page)"/>
        <w:docPartUnique/>
      </w:docPartObj>
    </w:sdtPr>
    <w:sdtContent>
      <w:p w:rsidR="004F453F" w:rsidRDefault="004F453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453F">
          <w:rPr>
            <w:noProof/>
            <w:lang w:val="es-ES"/>
          </w:rPr>
          <w:t>1</w:t>
        </w:r>
        <w:r>
          <w:fldChar w:fldCharType="end"/>
        </w:r>
      </w:p>
    </w:sdtContent>
  </w:sdt>
  <w:p w:rsidR="004F453F" w:rsidRDefault="004F4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71" w:rsidRDefault="008C0571" w:rsidP="004F453F">
      <w:r>
        <w:separator/>
      </w:r>
    </w:p>
  </w:footnote>
  <w:footnote w:type="continuationSeparator" w:id="0">
    <w:p w:rsidR="008C0571" w:rsidRDefault="008C0571" w:rsidP="004F4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01"/>
    <w:rsid w:val="004F453F"/>
    <w:rsid w:val="008C0571"/>
    <w:rsid w:val="009A7512"/>
    <w:rsid w:val="00B55501"/>
    <w:rsid w:val="00C45903"/>
    <w:rsid w:val="00D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7057-50BB-4712-AAE6-DBE4958A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501"/>
    <w:pPr>
      <w:spacing w:after="0" w:line="240" w:lineRule="auto"/>
      <w:jc w:val="both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55501"/>
    <w:rPr>
      <w:color w:val="0563C1" w:themeColor="hyperlink"/>
      <w:u w:val="single"/>
    </w:rPr>
  </w:style>
  <w:style w:type="table" w:customStyle="1" w:styleId="TableGrid">
    <w:name w:val="TableGrid"/>
    <w:rsid w:val="00B55501"/>
    <w:pPr>
      <w:spacing w:after="0" w:line="240" w:lineRule="auto"/>
    </w:pPr>
    <w:rPr>
      <w:rFonts w:eastAsiaTheme="minorEastAsia"/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F4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453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F4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53F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igonzalez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gonzalezv@uandes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Pericles</dc:creator>
  <cp:keywords/>
  <dc:description/>
  <cp:lastModifiedBy>User</cp:lastModifiedBy>
  <cp:revision>3</cp:revision>
  <dcterms:created xsi:type="dcterms:W3CDTF">2020-11-25T14:17:00Z</dcterms:created>
  <dcterms:modified xsi:type="dcterms:W3CDTF">2020-11-27T15:08:00Z</dcterms:modified>
</cp:coreProperties>
</file>