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551"/>
      </w:tblGrid>
      <w:tr w:rsidR="00D14923" w:rsidTr="004F64DE">
        <w:trPr>
          <w:trHeight w:val="360"/>
        </w:trPr>
        <w:tc>
          <w:tcPr>
            <w:tcW w:w="8505" w:type="dxa"/>
            <w:gridSpan w:val="2"/>
            <w:noWrap/>
            <w:vAlign w:val="center"/>
            <w:hideMark/>
          </w:tcPr>
          <w:p w:rsidR="00D14923" w:rsidRDefault="00D14923" w:rsidP="004F64DE">
            <w:pPr>
              <w:spacing w:line="252" w:lineRule="auto"/>
              <w:jc w:val="center"/>
              <w:rPr>
                <w:rFonts w:eastAsia="Times New Roman" w:cs="Arial"/>
                <w:color w:val="000000" w:themeColor="text1"/>
                <w:sz w:val="28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val="es-ES" w:eastAsia="es-CL"/>
              </w:rPr>
              <w:t>Teología III: “Los vicios capitales en la tradición cristiana”.</w:t>
            </w:r>
          </w:p>
          <w:p w:rsidR="00D14923" w:rsidRDefault="00D14923" w:rsidP="004F64DE">
            <w:pPr>
              <w:spacing w:line="252" w:lineRule="auto"/>
              <w:jc w:val="center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val="es-ES" w:eastAsia="es-CL"/>
              </w:rPr>
              <w:t>Centro de Estudios Generales</w:t>
            </w:r>
          </w:p>
        </w:tc>
      </w:tr>
      <w:tr w:rsidR="00D14923" w:rsidTr="004F64DE">
        <w:trPr>
          <w:trHeight w:val="80"/>
        </w:trPr>
        <w:tc>
          <w:tcPr>
            <w:tcW w:w="5954" w:type="dxa"/>
            <w:hideMark/>
          </w:tcPr>
          <w:p w:rsidR="00D14923" w:rsidRDefault="00D14923" w:rsidP="004F64DE">
            <w:pPr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  <w:tc>
          <w:tcPr>
            <w:tcW w:w="2551" w:type="dxa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Carrera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CEG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Código (Asignado por DPSA)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FMR 0002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Año de carrera/ Semestre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2do semestre 20212</w:t>
            </w:r>
            <w:r>
              <w:rPr>
                <w:rFonts w:eastAsia="Times New Roman" w:cs="Arial"/>
                <w:color w:val="000000" w:themeColor="text1"/>
                <w:lang w:val="es-ES" w:eastAsia="es-CL"/>
              </w:rPr>
              <w:t>(</w:t>
            </w:r>
            <w:proofErr w:type="gramStart"/>
            <w:r>
              <w:rPr>
                <w:rFonts w:eastAsia="Times New Roman" w:cs="Arial"/>
                <w:b/>
                <w:color w:val="000000" w:themeColor="text1"/>
                <w:lang w:val="es-ES" w:eastAsia="es-CL"/>
              </w:rPr>
              <w:t>Miércoles</w:t>
            </w:r>
            <w:proofErr w:type="gramEnd"/>
            <w:r>
              <w:rPr>
                <w:rFonts w:eastAsia="Times New Roman" w:cs="Arial"/>
                <w:b/>
                <w:color w:val="000000" w:themeColor="text1"/>
                <w:lang w:val="es-ES" w:eastAsia="es-CL"/>
              </w:rPr>
              <w:t xml:space="preserve"> 17:30 a 19:20) 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NRC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Créditos SCT-Chile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3</w:t>
            </w:r>
          </w:p>
        </w:tc>
      </w:tr>
      <w:tr w:rsidR="00D14923" w:rsidTr="004F64DE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Times New Roman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Horas de dedicación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Totales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90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 xml:space="preserve">Docencia directa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 xml:space="preserve">2 </w:t>
            </w:r>
            <w:proofErr w:type="spellStart"/>
            <w:r>
              <w:rPr>
                <w:rFonts w:eastAsia="Times New Roman" w:cs="Arial"/>
                <w:color w:val="000000" w:themeColor="text1"/>
                <w:lang w:val="es-ES" w:eastAsia="es-CL"/>
              </w:rPr>
              <w:t>hrs</w:t>
            </w:r>
            <w:proofErr w:type="spellEnd"/>
            <w:r>
              <w:rPr>
                <w:rFonts w:eastAsia="Times New Roman" w:cs="Arial"/>
                <w:color w:val="000000" w:themeColor="text1"/>
                <w:lang w:val="es-ES" w:eastAsia="es-CL"/>
              </w:rPr>
              <w:t>. semanales (30-32)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Trabajo autónomo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60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Tipo de asignatura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Programa de Estudios Generales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Requisitos/ Aprendizajes previos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NO HAY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hideMark/>
          </w:tcPr>
          <w:p w:rsidR="00D14923" w:rsidRDefault="00D14923" w:rsidP="004F64DE">
            <w:pPr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  <w:tc>
          <w:tcPr>
            <w:tcW w:w="2551" w:type="dxa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Nombre del profesor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Nicolás González Vidal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hyperlink r:id="rId4" w:history="1">
              <w:r>
                <w:rPr>
                  <w:rStyle w:val="Hipervnculo"/>
                  <w:rFonts w:eastAsia="Times New Roman" w:cs="Arial"/>
                  <w:lang w:val="es-ES" w:eastAsia="es-CL"/>
                </w:rPr>
                <w:t>nigonzalezv@uandes.cl</w:t>
              </w:r>
            </w:hyperlink>
            <w:r>
              <w:rPr>
                <w:rFonts w:eastAsia="Times New Roman" w:cs="Arial"/>
                <w:color w:val="000000" w:themeColor="text1"/>
                <w:lang w:val="es-ES" w:eastAsia="es-CL"/>
              </w:rPr>
              <w:t xml:space="preserve">  </w:t>
            </w:r>
            <w:hyperlink r:id="rId5" w:history="1">
              <w:r>
                <w:rPr>
                  <w:rStyle w:val="Hipervnculo"/>
                  <w:rFonts w:eastAsia="Times New Roman" w:cs="Arial"/>
                  <w:lang w:val="es-ES" w:eastAsia="es-CL"/>
                </w:rPr>
                <w:t>nigonzalezv@gmail.com</w:t>
              </w:r>
            </w:hyperlink>
            <w:r>
              <w:rPr>
                <w:rFonts w:eastAsia="Times New Roman" w:cs="Arial"/>
                <w:color w:val="000000" w:themeColor="text1"/>
                <w:lang w:val="es-ES" w:eastAsia="es-CL"/>
              </w:rPr>
              <w:t xml:space="preserve"> 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hideMark/>
          </w:tcPr>
          <w:p w:rsidR="00D14923" w:rsidRDefault="00D14923" w:rsidP="004F64DE">
            <w:pPr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  <w:tc>
          <w:tcPr>
            <w:tcW w:w="2551" w:type="dxa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Definición de la asignatura</w:t>
            </w:r>
          </w:p>
        </w:tc>
      </w:tr>
      <w:tr w:rsidR="00D14923" w:rsidTr="004F64DE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Para los autores medievales, junto con el conocimiento de Dios, el saber acerca del hombre mismo será su principal objeto de interés, dejando en un segundo plano todo lo relativo a la naturaleza y el mundo físico. 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Ahora bien, uno de los ámbitos donde esta preocupación por el conocimiento de sí mismo se revela con particular genio y profundidad es el de la doctrina sobre los ‘vicios capitales’ (soberbia, vanagloria, avaricia, envidia, ira, acedia, gula y lujuria). En efecto, la especulación en torno a estos vicios pretende desentrañar las dimensiones del mal al interior del hombre, en todas sus manifestaciones, dinamismos y conexiones.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El legado que la cultura patrística y medieval nos deja en torno a los vicios capitales es de una riqueza enorme y vale la pena conocerlo, sobre todo si se tiene a la vista la perenne vigencia de estas miserias humanas que, como tales, no pierden nada de su actualidad con el paso de los siglos.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26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Aporte al Perfil de Egreso / Graduación</w:t>
            </w:r>
          </w:p>
        </w:tc>
      </w:tr>
      <w:tr w:rsidR="00D14923" w:rsidTr="004F64DE">
        <w:trPr>
          <w:trHeight w:val="316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923" w:rsidRDefault="00D14923" w:rsidP="004F64DE">
            <w:pPr>
              <w:pBdr>
                <w:bottom w:val="single" w:sz="4" w:space="1" w:color="auto"/>
              </w:pBd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pBdr>
                <w:bottom w:val="single" w:sz="4" w:space="1" w:color="auto"/>
              </w:pBd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pBdr>
                <w:bottom w:val="single" w:sz="4" w:space="1" w:color="auto"/>
              </w:pBd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pBdr>
                <w:bottom w:val="single" w:sz="4" w:space="1" w:color="auto"/>
              </w:pBd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80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54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Resultados de aprendizaje generales de la asignatura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45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spacing w:line="252" w:lineRule="auto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Realizar una presentación general de la historia y sistematización de los pecados capitales y exponer algunos de los tratamientos que diversos autores han realizado de algunos dichos pecados en particular.</w:t>
            </w:r>
          </w:p>
        </w:tc>
      </w:tr>
      <w:tr w:rsidR="00D14923" w:rsidTr="004F64DE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hideMark/>
          </w:tcPr>
          <w:p w:rsidR="00D14923" w:rsidRDefault="00D14923" w:rsidP="004F64DE">
            <w:pPr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  <w:tc>
          <w:tcPr>
            <w:tcW w:w="2551" w:type="dxa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14923" w:rsidTr="004F64DE">
        <w:trPr>
          <w:trHeight w:val="87"/>
        </w:trPr>
        <w:tc>
          <w:tcPr>
            <w:tcW w:w="5954" w:type="dxa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14923" w:rsidTr="004F64DE">
        <w:trPr>
          <w:trHeight w:val="80"/>
        </w:trPr>
        <w:tc>
          <w:tcPr>
            <w:tcW w:w="5954" w:type="dxa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14923" w:rsidTr="004F64DE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Contenidos/Unidades Temáticas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Resultados de aprendizaje específicos de la Unidad</w:t>
            </w: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I.- Narcisismo, sadismo y destructividad según Erich Fromm.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II.- El problema moral y la elección. Moral, norma y libertad.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III.- El origen del mal según Juan Pablo II y Romano Guardini.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IV.- Los pecados capitales: concepto, naturaleza y características.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V.- La soberbia y la vanagloria en Juan Casiano, Gregorio Magno y Tomás de Aquino.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 xml:space="preserve">VI.- La envidia en Basilio de </w:t>
            </w:r>
            <w:proofErr w:type="spellStart"/>
            <w:r>
              <w:rPr>
                <w:rFonts w:eastAsia="Times New Roman" w:cs="Arial"/>
                <w:color w:val="000000" w:themeColor="text1"/>
                <w:lang w:val="es-ES" w:eastAsia="es-CL"/>
              </w:rPr>
              <w:t>Cesarea</w:t>
            </w:r>
            <w:proofErr w:type="spellEnd"/>
            <w:r>
              <w:rPr>
                <w:rFonts w:eastAsia="Times New Roman" w:cs="Arial"/>
                <w:color w:val="000000" w:themeColor="text1"/>
                <w:lang w:val="es-ES" w:eastAsia="es-CL"/>
              </w:rPr>
              <w:t>, Agustín de Hipona y Gregorio Magno.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VII.- La envidia en Aristóteles y Tomás de Aquino.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VIII.- El resentimiento en Friedrich Nietzsche y Max Scheler.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IX.- La simulación y la hipocresía en Gregorio Magno y Tomás de Aquino.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color w:val="000000" w:themeColor="text1"/>
                <w:lang w:val="es-ES" w:eastAsia="es-CL"/>
              </w:rPr>
              <w:t>X.- La ira, el odio y la venganza en Tomás de Aquino / El perdón en autores contemporáneos.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Estrategias de enseñanza/Metodologías de enseñanza/ Técnicas de enseñanza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El curso se desarrollará, principalmente, a través de clases expositivas y comentario de textos, abiertas al diálogo y la discusión. Tal diálogo y análisis surgirá a partir de los comentarios, reflexiones y preguntas de los mismos alumnos, por lo que se agradecerá su activa participación durante las clases.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</w:tcPr>
          <w:p w:rsidR="00D14923" w:rsidRDefault="00D14923" w:rsidP="004F64DE">
            <w:pPr>
              <w:spacing w:line="252" w:lineRule="auto"/>
              <w:jc w:val="center"/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  <w:tc>
          <w:tcPr>
            <w:tcW w:w="2551" w:type="dxa"/>
            <w:hideMark/>
          </w:tcPr>
          <w:p w:rsidR="00D14923" w:rsidRDefault="00D14923" w:rsidP="004F64DE">
            <w:pPr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Estrategias de evaluación de los aprendizajes</w:t>
            </w:r>
          </w:p>
        </w:tc>
      </w:tr>
      <w:tr w:rsidR="00D14923" w:rsidTr="004F64DE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- Evaluación 1: </w:t>
            </w:r>
            <w:proofErr w:type="gramStart"/>
            <w:r>
              <w:rPr>
                <w:rFonts w:eastAsia="Cambria" w:cs="Arial"/>
                <w:lang w:val="es-ES_tradnl" w:eastAsia="es-ES_tradnl"/>
              </w:rPr>
              <w:t>Ensayo :</w:t>
            </w:r>
            <w:proofErr w:type="gramEnd"/>
            <w:r>
              <w:rPr>
                <w:rFonts w:eastAsia="Cambria" w:cs="Arial"/>
                <w:lang w:val="es-ES_tradnl" w:eastAsia="es-ES_tradnl"/>
              </w:rPr>
              <w:t xml:space="preserve"> 35%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- Evaluación 2: </w:t>
            </w:r>
            <w:proofErr w:type="gramStart"/>
            <w:r>
              <w:rPr>
                <w:rFonts w:eastAsia="Cambria" w:cs="Arial"/>
                <w:lang w:val="es-ES_tradnl" w:eastAsia="es-ES_tradnl"/>
              </w:rPr>
              <w:t>Ensayo :</w:t>
            </w:r>
            <w:proofErr w:type="gramEnd"/>
            <w:r>
              <w:rPr>
                <w:rFonts w:eastAsia="Cambria" w:cs="Arial"/>
                <w:lang w:val="es-ES_tradnl" w:eastAsia="es-ES_tradnl"/>
              </w:rPr>
              <w:t xml:space="preserve"> 35%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- Evaluación final: Examen: 30% 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D14923" w:rsidRDefault="00D14923" w:rsidP="004F64DE">
            <w:pPr>
              <w:spacing w:line="252" w:lineRule="auto"/>
              <w:rPr>
                <w:rFonts w:eastAsia="Cambria" w:cs="Arial"/>
                <w:b/>
                <w:lang w:val="es-ES_tradnl" w:eastAsia="es-ES_tradnl"/>
              </w:rPr>
            </w:pPr>
            <w:r>
              <w:rPr>
                <w:rFonts w:eastAsia="Cambria" w:cs="Arial"/>
                <w:b/>
                <w:lang w:val="es-ES_tradnl" w:eastAsia="es-ES_tradnl"/>
              </w:rPr>
              <w:t xml:space="preserve">-Las instrucciones y la pauta de evaluación de los ensayos serán subidas a </w:t>
            </w:r>
            <w:proofErr w:type="spellStart"/>
            <w:r>
              <w:rPr>
                <w:rFonts w:eastAsia="Cambria" w:cs="Arial"/>
                <w:b/>
                <w:lang w:val="es-ES_tradnl" w:eastAsia="es-ES_tradnl"/>
              </w:rPr>
              <w:t>Canvas</w:t>
            </w:r>
            <w:proofErr w:type="spellEnd"/>
            <w:r>
              <w:rPr>
                <w:rFonts w:eastAsia="Cambria" w:cs="Arial"/>
                <w:b/>
                <w:lang w:val="es-ES_tradnl" w:eastAsia="es-ES_tradnl"/>
              </w:rPr>
              <w:t xml:space="preserve"> y debidamente explicadas por el profesor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D14923" w:rsidRDefault="00D14923" w:rsidP="004F64DE">
            <w:pPr>
              <w:spacing w:line="252" w:lineRule="auto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La nota mínima de presentación a examen será de 3,0. </w:t>
            </w:r>
          </w:p>
          <w:p w:rsidR="00D14923" w:rsidRDefault="00D14923" w:rsidP="004F64DE">
            <w:pPr>
              <w:spacing w:line="252" w:lineRule="auto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No habrá exámenes de repetición y la nota que se obtenga no estará condicionada para aprobar el ramo, es decir, no tendrá carácter de reprobatorio.</w:t>
            </w:r>
          </w:p>
          <w:p w:rsidR="00D14923" w:rsidRDefault="00D14923" w:rsidP="004F64DE">
            <w:pPr>
              <w:spacing w:line="252" w:lineRule="auto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</w:tc>
      </w:tr>
      <w:tr w:rsidR="00D14923" w:rsidTr="004F64D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923" w:rsidRDefault="00D14923" w:rsidP="004F64DE">
            <w:pPr>
              <w:rPr>
                <w:rFonts w:eastAsia="Cambria" w:cs="Arial"/>
                <w:lang w:val="es-ES_tradnl" w:eastAsia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923" w:rsidRDefault="00D14923" w:rsidP="004F64DE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14923" w:rsidTr="004F64D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Recursos de aprendizajes</w:t>
            </w:r>
          </w:p>
        </w:tc>
      </w:tr>
      <w:tr w:rsidR="00D14923" w:rsidTr="004F64D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-Selección de textos entregada por el profesor.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Bibliografía complementaria o de consulta: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u w:val="single"/>
                <w:lang w:val="es-ES" w:eastAsia="es-CL"/>
              </w:rPr>
              <w:t>Libros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: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s-ES" w:eastAsia="es-CL"/>
              </w:rPr>
              <w:t>-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Agustín,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Confesiones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estudio preliminar, traducción directa y notas de Silvia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Magnavacca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Losada, Buenos Aires, 2005.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-Aristóteles,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Retórica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introducción, traducción y notas de Quintín Racionero, Gredos, Madrid, 2000.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Baasten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Matthew,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 xml:space="preserve">Pride according to Gregory the Great. A Study of the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Moralia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The Edwin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Mellen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Press, U.S.A, 1986.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-Basilio de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Cesarea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Sobre la envidia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en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Panegíricos a los mártires-Homilías contra las pasiones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Ciudad Nueva, Madrid, 2007.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-Casagrande, Carla, Vecchio, Silvana,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I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sette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vizi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capitali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.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Storia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dei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peccati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nel Medioevo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Einaudi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Torino, 2000.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-Casiano, Juan,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Colaciones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 I, 2ª edición, Rialp, Madrid, 1998.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Colaciones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 II, 2ª edición, Rialp, Madrid, 1998.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Instituciones Cenobíticas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traducción de Mauro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Matthei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Ecuam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Zamora, 2000.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-Crespo, Mariano, </w:t>
            </w:r>
            <w:r w:rsidRPr="0011594C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El per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dón. Una investigación filosófi</w:t>
            </w:r>
            <w:r w:rsidRPr="0011594C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ca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Encuentro, Madrid, 2004-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Evagrio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Póntico,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Obras espirituales. Tratado práctico, A los monjes, Exhortación a una virgen, Sobre la oración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introducción y notas de José I. González Villanueva y traducción de Juan Pablo Rubio Sadia, Ciudad Nueva, Madrid, 1995.</w:t>
            </w:r>
          </w:p>
          <w:p w:rsidR="00D14923" w:rsidRDefault="00D14923" w:rsidP="004F64DE">
            <w:pPr>
              <w:spacing w:line="252" w:lineRule="auto"/>
              <w:jc w:val="left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-Fromm, Erich, </w:t>
            </w:r>
            <w:r w:rsidRPr="00875FB3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Anatomía de la destructividad humana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siglo xxi, México, 2017.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lastRenderedPageBreak/>
              <w:t xml:space="preserve">-González, Nicolás,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Inconsciente, conflicto y autoengaño. La psicología de Gregorio Magno en el Comentario al Libro de Job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Eunsa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Pamplona, 2014.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-González, Nicolás,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La pasión de la tristeza y su relación con la moralidad en santo Tomás de Aquino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Cuadernos de Anuario Filosófico, Pamplona, 2008.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-Gregorio Magno,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Los morales del papa San Gregorio Magno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4 tomos, Poblet, Buenos Aires, 1945.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Libros morales</w:t>
            </w:r>
            <w:r w:rsidRPr="0011594C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/1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 (</w:t>
            </w:r>
            <w:proofErr w:type="spellStart"/>
            <w:r w:rsidRPr="00C85564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Moralia</w:t>
            </w:r>
            <w:proofErr w:type="spellEnd"/>
            <w:r w:rsidRPr="00C85564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in </w:t>
            </w:r>
            <w:proofErr w:type="spellStart"/>
            <w:r w:rsidRPr="00C85564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Iob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), tomo I (I a V) introducción, traducción y notas de José Rico Pavés, Ciudad Nueva, Madrid, 1998.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Libros morales</w:t>
            </w:r>
            <w:r w:rsidRPr="0011594C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/2 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(</w:t>
            </w:r>
            <w:proofErr w:type="spellStart"/>
            <w:r w:rsidRPr="00C85564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Moralia</w:t>
            </w:r>
            <w:proofErr w:type="spellEnd"/>
            <w:r w:rsidRPr="00C85564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in </w:t>
            </w:r>
            <w:proofErr w:type="spellStart"/>
            <w:r w:rsidRPr="00C85564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Iob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), tomo II (VI a X) introducción, traducción y notas de José Rico Pavés, Ciudad Nueva, Madrid, 2004.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-Guardini, Romano,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El comienzo de todas las cosas. Meditaciones sobre el Génesis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Agape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Buenos Aires, 2009.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Larchet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Jean-Claude,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Terapia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delle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malattia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spirituali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.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Un’introduzione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alla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tradizione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ascetica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della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 xml:space="preserve"> Chiesa ortodoxa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San Paolo, Milano, 2003.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-Lewis, C.S., </w:t>
            </w:r>
            <w:r w:rsidRPr="0011594C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El perdón y otros ensayos cristianos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Andrés Bello, Santiago de Chile, 1998.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-Nietzsche, Friedrich, </w:t>
            </w:r>
            <w:r w:rsidRPr="00875FB3"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La genealogía de la moral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Alianza Editorial, Madrid, 1995. 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-Scheler, Max,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El resentimiento en la moral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2° edición, Caparrós editores, Madrid, 1998.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-Schimmel, Solomon,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The seven deadly sins. Jewish, Christian, and Classical Reflections on Human Nature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, The Free Press, New York, 1992.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Schoeck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Helmut,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La envidia. Una teoría de la sociedad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Club de Lectores, Buenos Aires, 1969.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-Tomás de Aquino,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Cuestiones disputadas sobre el mal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Eunsa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Pamplona, 1997.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Suma de Teología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4 vols., 4ª edición, BAC, Madrid, 2001.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-Wojtyla,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Karol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Signo de contradicción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, BAC, Madrid, 1979.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u w:val="single"/>
                <w:lang w:val="en-US" w:eastAsia="es-CL"/>
              </w:rPr>
            </w:pP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proofErr w:type="spellStart"/>
            <w:r>
              <w:rPr>
                <w:rFonts w:eastAsia="Times New Roman" w:cs="Arial"/>
                <w:bCs/>
                <w:color w:val="000000" w:themeColor="text1"/>
                <w:u w:val="single"/>
                <w:lang w:val="en-US" w:eastAsia="es-CL"/>
              </w:rPr>
              <w:t>Artículos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: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-Bloomfield, Morton W., ‘The Origin of the Concept of the Seven Cardinal Sins’,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Harvard Theological Review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, vol. 34, No. 2 (</w:t>
            </w:r>
            <w:proofErr w:type="gram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Apr.,</w:t>
            </w:r>
            <w:proofErr w:type="gram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1941),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págs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121-128.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-Echavarría, Martín F., ‘La soberbia y la lujuria como patologías centrales de la psique según Alfred Adler y Santo Tomás de Aquino’, en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s-ES" w:eastAsia="es-CL"/>
              </w:rPr>
              <w:t>La psicología ante la gracia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, 2ª edición corregida y ampliada, dirigida por Ignacio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Andereggen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 xml:space="preserve"> y Zelmira Seligman, Educa, Buenos Aires, 1999.</w:t>
            </w:r>
          </w:p>
          <w:p w:rsidR="00D14923" w:rsidRDefault="00D14923" w:rsidP="004F64DE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s-E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-Wenzel, Siegfried, ‘The Seven Deadly Sins: Some Problems of Research’,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Speculum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vol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43, No. 1 (</w:t>
            </w:r>
            <w:proofErr w:type="gram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Jan.,</w:t>
            </w:r>
            <w:proofErr w:type="gram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1968),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págs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</w:t>
            </w:r>
            <w:r>
              <w:rPr>
                <w:rFonts w:eastAsia="Times New Roman" w:cs="Arial"/>
                <w:bCs/>
                <w:color w:val="000000" w:themeColor="text1"/>
                <w:lang w:val="es-ES" w:eastAsia="es-CL"/>
              </w:rPr>
              <w:t>1-22.</w:t>
            </w:r>
          </w:p>
        </w:tc>
      </w:tr>
    </w:tbl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p w:rsidR="00D14923" w:rsidRDefault="00D14923" w:rsidP="00D14923"/>
    <w:tbl>
      <w:tblPr>
        <w:tblStyle w:val="TableGrid"/>
        <w:tblW w:w="9057" w:type="dxa"/>
        <w:tblInd w:w="-170" w:type="dxa"/>
        <w:tblCellMar>
          <w:top w:w="105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866"/>
        <w:gridCol w:w="2127"/>
        <w:gridCol w:w="1393"/>
        <w:gridCol w:w="1300"/>
        <w:gridCol w:w="992"/>
        <w:gridCol w:w="1379"/>
      </w:tblGrid>
      <w:tr w:rsidR="00D14923" w:rsidTr="004F64DE">
        <w:trPr>
          <w:trHeight w:val="372"/>
        </w:trPr>
        <w:tc>
          <w:tcPr>
            <w:tcW w:w="9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 xml:space="preserve">Cronograma de actividades  </w:t>
            </w:r>
          </w:p>
        </w:tc>
      </w:tr>
      <w:tr w:rsidR="00D14923" w:rsidTr="00D14923">
        <w:trPr>
          <w:trHeight w:val="41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b/>
                <w:lang w:eastAsia="es-ES"/>
              </w:rPr>
              <w:t>Contenido/Unidad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b/>
                <w:lang w:eastAsia="es-ES"/>
              </w:rPr>
              <w:t>Actividad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b/>
                <w:lang w:eastAsia="es-ES"/>
              </w:rPr>
              <w:t>Fecha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b/>
                <w:lang w:eastAsia="es-ES"/>
              </w:rPr>
              <w:t>Evaluación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b/>
                <w:lang w:eastAsia="es-ES"/>
              </w:rPr>
              <w:t>Fecha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b/>
                <w:lang w:eastAsia="es-ES"/>
              </w:rPr>
              <w:t>Docente</w:t>
            </w:r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Introducción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</w:t>
            </w:r>
            <w:r>
              <w:rPr>
                <w:lang w:eastAsia="es-ES"/>
              </w:rPr>
              <w:t>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10</w:t>
            </w:r>
            <w:r>
              <w:rPr>
                <w:lang w:eastAsia="es-ES"/>
              </w:rPr>
              <w:t>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17</w:t>
            </w:r>
            <w:r>
              <w:rPr>
                <w:lang w:eastAsia="es-ES"/>
              </w:rPr>
              <w:t>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24</w:t>
            </w:r>
            <w:r>
              <w:rPr>
                <w:lang w:eastAsia="es-ES"/>
              </w:rPr>
              <w:t>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IV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31/8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7</w:t>
            </w:r>
            <w:r>
              <w:rPr>
                <w:lang w:eastAsia="es-ES"/>
              </w:rPr>
              <w:t>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Pr="00C85564" w:rsidRDefault="00D14923" w:rsidP="004F64DE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EVALUACIÓN 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Pr="00C85564" w:rsidRDefault="00D14923" w:rsidP="00804C8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14</w:t>
            </w:r>
            <w:r w:rsidRPr="00C85564">
              <w:rPr>
                <w:b/>
                <w:lang w:eastAsia="es-ES"/>
              </w:rPr>
              <w:t>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jc w:val="center"/>
              <w:rPr>
                <w:lang w:eastAsia="es-ES"/>
              </w:rPr>
            </w:pPr>
            <w:r>
              <w:rPr>
                <w:b/>
                <w:lang w:eastAsia="es-ES"/>
              </w:rPr>
              <w:t>ENSAYO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Pr="00D14923" w:rsidRDefault="00D14923" w:rsidP="00D14923">
            <w:pPr>
              <w:jc w:val="center"/>
              <w:rPr>
                <w:rFonts w:eastAsiaTheme="minorHAnsi"/>
                <w:b/>
                <w:lang w:eastAsia="es-CL"/>
              </w:rPr>
            </w:pPr>
            <w:r w:rsidRPr="00D14923">
              <w:rPr>
                <w:rFonts w:eastAsiaTheme="minorHAnsi"/>
                <w:b/>
                <w:lang w:eastAsia="es-CL"/>
              </w:rPr>
              <w:t>14/9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Pr="00D14923" w:rsidRDefault="00D14923" w:rsidP="00804C8D">
            <w:pPr>
              <w:jc w:val="center"/>
              <w:rPr>
                <w:lang w:eastAsia="es-ES"/>
              </w:rPr>
            </w:pPr>
            <w:r w:rsidRPr="00D14923">
              <w:rPr>
                <w:lang w:eastAsia="es-ES"/>
              </w:rPr>
              <w:t>21</w:t>
            </w:r>
            <w:r w:rsidRPr="00D14923">
              <w:rPr>
                <w:lang w:eastAsia="es-ES"/>
              </w:rPr>
              <w:t>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Pr="00D14923" w:rsidRDefault="00D14923" w:rsidP="00D1492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VII</w:t>
            </w:r>
          </w:p>
          <w:p w:rsidR="00D14923" w:rsidRDefault="00D14923" w:rsidP="004F64DE">
            <w:pPr>
              <w:jc w:val="center"/>
              <w:rPr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  <w:p w:rsidR="00D14923" w:rsidRDefault="00D14923" w:rsidP="004F64DE">
            <w:pPr>
              <w:jc w:val="center"/>
              <w:rPr>
                <w:lang w:eastAsia="es-E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28</w:t>
            </w:r>
            <w:r>
              <w:rPr>
                <w:lang w:eastAsia="es-ES"/>
              </w:rPr>
              <w:t>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VIII</w:t>
            </w:r>
          </w:p>
          <w:p w:rsidR="00D14923" w:rsidRDefault="00D14923" w:rsidP="004F64DE">
            <w:pPr>
              <w:jc w:val="center"/>
              <w:rPr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  <w:p w:rsidR="00D14923" w:rsidRDefault="00D14923" w:rsidP="004F64DE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</w:t>
            </w:r>
            <w:r>
              <w:rPr>
                <w:lang w:eastAsia="es-ES"/>
              </w:rPr>
              <w:t>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Película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Película: ‘</w:t>
            </w:r>
            <w:proofErr w:type="spellStart"/>
            <w:r>
              <w:rPr>
                <w:lang w:eastAsia="es-ES"/>
              </w:rPr>
              <w:t>Calvary</w:t>
            </w:r>
            <w:proofErr w:type="spellEnd"/>
            <w:r>
              <w:rPr>
                <w:lang w:eastAsia="es-ES"/>
              </w:rPr>
              <w:t>’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12</w:t>
            </w:r>
            <w:r>
              <w:rPr>
                <w:lang w:eastAsia="es-ES"/>
              </w:rPr>
              <w:t>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bookmarkStart w:id="0" w:name="_GoBack"/>
            <w:bookmarkEnd w:id="0"/>
          </w:p>
        </w:tc>
      </w:tr>
      <w:tr w:rsidR="00D14923" w:rsidTr="00D14923">
        <w:trPr>
          <w:trHeight w:val="3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IX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19</w:t>
            </w:r>
            <w:r>
              <w:rPr>
                <w:lang w:eastAsia="es-ES"/>
              </w:rPr>
              <w:t>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IX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Clases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26</w:t>
            </w:r>
            <w:r>
              <w:rPr>
                <w:lang w:eastAsia="es-ES"/>
              </w:rPr>
              <w:t>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Unidad 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b/>
                <w:lang w:eastAsia="es-ES"/>
              </w:rPr>
            </w:pPr>
            <w:r>
              <w:rPr>
                <w:lang w:eastAsia="es-ES"/>
              </w:rPr>
              <w:t>Clases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804C8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</w:t>
            </w:r>
            <w:r>
              <w:rPr>
                <w:lang w:eastAsia="es-ES"/>
              </w:rPr>
              <w:t>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left"/>
              <w:rPr>
                <w:rFonts w:eastAsiaTheme="minorHAnsi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  <w:tr w:rsidR="00D14923" w:rsidTr="00D14923">
        <w:trPr>
          <w:trHeight w:val="37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jc w:val="center"/>
              <w:rPr>
                <w:lang w:eastAsia="es-ES"/>
              </w:rPr>
            </w:pPr>
            <w:r>
              <w:rPr>
                <w:b/>
                <w:lang w:eastAsia="es-ES"/>
              </w:rPr>
              <w:t>EVALUACIÓN 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Pr="00D14923" w:rsidRDefault="00D14923" w:rsidP="00804C8D">
            <w:pPr>
              <w:jc w:val="center"/>
              <w:rPr>
                <w:b/>
                <w:lang w:eastAsia="es-ES"/>
              </w:rPr>
            </w:pPr>
            <w:r w:rsidRPr="00D14923">
              <w:rPr>
                <w:b/>
                <w:lang w:eastAsia="es-ES"/>
              </w:rPr>
              <w:t>9</w:t>
            </w:r>
            <w:r w:rsidRPr="00D14923">
              <w:rPr>
                <w:b/>
                <w:lang w:eastAsia="es-ES"/>
              </w:rPr>
              <w:t>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  <w:r>
              <w:rPr>
                <w:b/>
                <w:lang w:eastAsia="es-ES"/>
              </w:rPr>
              <w:t>ENSAYO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D14923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9/11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b/>
                <w:lang w:eastAsia="es-ES"/>
              </w:rPr>
            </w:pPr>
          </w:p>
        </w:tc>
      </w:tr>
      <w:tr w:rsidR="00D14923" w:rsidTr="00D14923">
        <w:trPr>
          <w:trHeight w:val="37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jc w:val="center"/>
              <w:rPr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Pr="00612542" w:rsidRDefault="00D14923" w:rsidP="00D14923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Síntesis y conclusión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Pr="00D14923" w:rsidRDefault="00D14923" w:rsidP="00804C8D">
            <w:pPr>
              <w:jc w:val="center"/>
              <w:rPr>
                <w:lang w:eastAsia="es-ES"/>
              </w:rPr>
            </w:pPr>
            <w:r w:rsidRPr="00D14923">
              <w:rPr>
                <w:lang w:eastAsia="es-ES"/>
              </w:rPr>
              <w:t>16</w:t>
            </w:r>
            <w:r w:rsidRPr="00D14923">
              <w:rPr>
                <w:lang w:eastAsia="es-ES"/>
              </w:rPr>
              <w:t>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D14923" w:rsidP="004F64DE">
            <w:pPr>
              <w:rPr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Pr="00C51493" w:rsidRDefault="00D14923" w:rsidP="004F64DE">
            <w:pPr>
              <w:jc w:val="center"/>
              <w:rPr>
                <w:rFonts w:eastAsiaTheme="minorHAns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23" w:rsidRDefault="00804C8D" w:rsidP="00804C8D">
            <w:pPr>
              <w:rPr>
                <w:lang w:eastAsia="es-ES"/>
              </w:rPr>
            </w:pPr>
            <w:r>
              <w:rPr>
                <w:lang w:eastAsia="es-ES"/>
              </w:rPr>
              <w:t>N. González</w:t>
            </w:r>
          </w:p>
        </w:tc>
      </w:tr>
    </w:tbl>
    <w:p w:rsidR="00D14923" w:rsidRDefault="00D14923" w:rsidP="00D14923"/>
    <w:p w:rsidR="00D14923" w:rsidRDefault="00D14923" w:rsidP="00D14923"/>
    <w:p w:rsidR="00963C95" w:rsidRDefault="00963C95"/>
    <w:sectPr w:rsidR="00963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23"/>
    <w:rsid w:val="00804C8D"/>
    <w:rsid w:val="00963C95"/>
    <w:rsid w:val="00D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75C"/>
  <w15:chartTrackingRefBased/>
  <w15:docId w15:val="{BD827E04-718F-49B9-9C38-24990A0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92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4923"/>
    <w:rPr>
      <w:color w:val="0563C1" w:themeColor="hyperlink"/>
      <w:u w:val="single"/>
    </w:rPr>
  </w:style>
  <w:style w:type="table" w:customStyle="1" w:styleId="TableGrid">
    <w:name w:val="TableGrid"/>
    <w:rsid w:val="00D14923"/>
    <w:pPr>
      <w:spacing w:after="0" w:line="240" w:lineRule="auto"/>
    </w:pPr>
    <w:rPr>
      <w:rFonts w:eastAsiaTheme="minorEastAsia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gonzalezv@gmail.com" TargetMode="External"/><Relationship Id="rId4" Type="http://schemas.openxmlformats.org/officeDocument/2006/relationships/hyperlink" Target="mailto:nigonzalezv@uand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González Vidal</dc:creator>
  <cp:keywords/>
  <dc:description/>
  <cp:lastModifiedBy>Nicolás González Vidal</cp:lastModifiedBy>
  <cp:revision>1</cp:revision>
  <dcterms:created xsi:type="dcterms:W3CDTF">2022-06-17T17:09:00Z</dcterms:created>
  <dcterms:modified xsi:type="dcterms:W3CDTF">2022-06-17T17:21:00Z</dcterms:modified>
</cp:coreProperties>
</file>